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pBdr>
          <w:bottom w:val="single" w:sz="16" w:space="8" w:color="1D6174"/>
        </w:pBdr>
        <w:spacing w:before="2100" w:after="360"/>
        <w:contextualSpacing/>
        <w:jc w:val="center"/>
        <w:rPr/>
      </w:pPr>
      <w:r>
        <w:rPr>
          <w:rFonts w:ascii="Inter Display" w:hAnsi="Inter Display"/>
          <w:b/>
          <w:color w:val="173B57"/>
          <w:sz w:val="68"/>
        </w:rPr>
        <w:t>VOXONOMICS</w:t>
      </w:r>
    </w:p>
    <w:p>
      <w:pPr>
        <w:pStyle w:val="Subtitle"/>
        <w:spacing w:before="0" w:after="440"/>
        <w:jc w:val="center"/>
        <w:rPr/>
      </w:pPr>
      <w:r>
        <w:rPr>
          <w:rFonts w:ascii="Inter Display" w:hAnsi="Inter Display"/>
          <w:b/>
          <w:i/>
          <w:color w:val="46697F"/>
          <w:sz w:val="30"/>
        </w:rPr>
        <w:t>Final Publication Edition — Version 3.1</w:t>
        <w:br/>
        <w:t>A Universal, Chain-Agnostic Economic Measurement</w:t>
        <w:br/>
        <w:t>and Cross-Network Valuation Framework</w:t>
      </w:r>
    </w:p>
    <w:p>
      <w:pPr>
        <w:pStyle w:val="Author"/>
        <w:spacing w:before="160" w:after="160"/>
        <w:jc w:val="center"/>
        <w:rPr/>
      </w:pPr>
      <w:r>
        <w:rPr>
          <w:b/>
          <w:color w:val="232B31"/>
          <w:sz w:val="22"/>
        </w:rPr>
        <w:t>Voxonomics Research Framework</w:t>
      </w:r>
    </w:p>
    <w:p>
      <w:pPr>
        <w:pStyle w:val="Normal"/>
        <w:jc w:val="center"/>
        <w:rPr/>
      </w:pPr>
      <w:r>
        <w:rPr>
          <w:rFonts w:ascii="Inter" w:hAnsi="Inter"/>
          <w:color w:val="46697F"/>
          <w:sz w:val="20"/>
        </w:rPr>
        <w:t>July 2026</w:t>
      </w:r>
    </w:p>
    <w:p>
      <w:pPr>
        <w:pStyle w:val="Normal"/>
        <w:widowControl/>
        <w:spacing w:before="2600" w:after="120"/>
        <w:jc w:val="center"/>
        <w:rPr/>
      </w:pPr>
      <w:r>
        <w:rPr>
          <w:rFonts w:ascii="Inter" w:hAnsi="Inter"/>
          <w:b/>
          <w:color w:val="1D6174"/>
          <w:sz w:val="18"/>
        </w:rPr>
        <w:t>VALUE SHOULD REFLECT VERIFIABLE ECONOMIC REALITY</w:t>
      </w:r>
    </w:p>
    <w:sdt>
      <w:sdtPr>
        <w:docPartObj>
          <w:docPartGallery w:val="Table of Contents"/>
          <w:docPartUnique w:val="true"/>
        </w:docPartObj>
      </w:sdtPr>
      <w:sdtContent>
        <w:p>
          <w:pPr>
            <w:pStyle w:val="TOCHeading"/>
            <w:rPr>
              <w:rFonts w:ascii="Inter Display" w:hAnsi="Inter Display"/>
              <w:b/>
              <w:sz w:val="44"/>
            </w:rPr>
          </w:pPr>
          <w:r>
            <w:rPr>
              <w:b/>
              <w:sz w:val="44"/>
            </w:rPr>
            <w:t>Contents</w:t>
          </w:r>
        </w:p>
        <w:p>
          <w:pPr>
            <w:pStyle w:val="TOC1"/>
            <w:tabs>
              <w:tab w:val="clear" w:pos="9638"/>
              <w:tab w:val="right" w:pos="9637" w:leader="dot"/>
            </w:tabs>
            <w:rPr/>
          </w:pPr>
          <w:r>
            <w:fldChar w:fldCharType="begin"/>
          </w:r>
          <w:r>
            <w:rPr>
              <w:webHidden/>
              <w:rStyle w:val="IndexLink"/>
            </w:rPr>
            <w:instrText xml:space="preserve"> TOC \z \o "1-2" \u \h</w:instrText>
          </w:r>
          <w:r>
            <w:rPr>
              <w:webHidden/>
              <w:rStyle w:val="IndexLink"/>
            </w:rPr>
            <w:fldChar w:fldCharType="separate"/>
          </w:r>
          <w:hyperlink w:anchor="__RefHeading___Toc8147_528838595">
            <w:r>
              <w:rPr>
                <w:webHidden/>
                <w:rStyle w:val="IndexLink"/>
              </w:rPr>
              <w:t>Publication Notice</w:t>
              <w:tab/>
              <w:t>3</w:t>
            </w:r>
          </w:hyperlink>
        </w:p>
        <w:p>
          <w:pPr>
            <w:pStyle w:val="TOC1"/>
            <w:tabs>
              <w:tab w:val="clear" w:pos="9638"/>
              <w:tab w:val="right" w:pos="9637" w:leader="dot"/>
            </w:tabs>
            <w:rPr/>
          </w:pPr>
          <w:hyperlink w:anchor="__RefHeading___Toc8149_528838595">
            <w:r>
              <w:rPr>
                <w:webHidden/>
                <w:rStyle w:val="IndexLink"/>
              </w:rPr>
              <w:t>Abstract</w:t>
              <w:tab/>
              <w:t>4</w:t>
            </w:r>
          </w:hyperlink>
        </w:p>
        <w:p>
          <w:pPr>
            <w:pStyle w:val="TOC1"/>
            <w:tabs>
              <w:tab w:val="clear" w:pos="9638"/>
              <w:tab w:val="right" w:pos="9637" w:leader="dot"/>
            </w:tabs>
            <w:rPr/>
          </w:pPr>
          <w:hyperlink w:anchor="__RefHeading___Toc8151_528838595">
            <w:r>
              <w:rPr>
                <w:webHidden/>
                <w:rStyle w:val="IndexLink"/>
              </w:rPr>
              <w:t>Executive Summary</w:t>
              <w:tab/>
              <w:t>5</w:t>
            </w:r>
          </w:hyperlink>
        </w:p>
        <w:p>
          <w:pPr>
            <w:pStyle w:val="TOC1"/>
            <w:tabs>
              <w:tab w:val="clear" w:pos="9638"/>
              <w:tab w:val="right" w:pos="9637" w:leader="dot"/>
            </w:tabs>
            <w:rPr/>
          </w:pPr>
          <w:hyperlink w:anchor="__RefHeading___Toc8167_528838595">
            <w:r>
              <w:rPr>
                <w:webHidden/>
                <w:rStyle w:val="IndexLink"/>
              </w:rPr>
              <w:t>Part I — Foundations</w:t>
              <w:tab/>
              <w:t>8</w:t>
            </w:r>
          </w:hyperlink>
        </w:p>
        <w:p>
          <w:pPr>
            <w:pStyle w:val="TOC2"/>
            <w:tabs>
              <w:tab w:val="clear" w:pos="9355"/>
              <w:tab w:val="right" w:pos="9637" w:leader="dot"/>
            </w:tabs>
            <w:rPr/>
          </w:pPr>
          <w:hyperlink w:anchor="__RefHeading___Toc8169_528838595">
            <w:r>
              <w:rPr>
                <w:webHidden/>
                <w:rStyle w:val="IndexLink"/>
              </w:rPr>
              <w:t>1. Introduction</w:t>
              <w:tab/>
              <w:t>9</w:t>
            </w:r>
          </w:hyperlink>
        </w:p>
        <w:p>
          <w:pPr>
            <w:pStyle w:val="TOC2"/>
            <w:tabs>
              <w:tab w:val="clear" w:pos="9355"/>
              <w:tab w:val="right" w:pos="9637" w:leader="dot"/>
            </w:tabs>
            <w:rPr/>
          </w:pPr>
          <w:hyperlink w:anchor="__RefHeading___Toc8181_528838595">
            <w:r>
              <w:rPr>
                <w:webHidden/>
                <w:rStyle w:val="IndexLink"/>
              </w:rPr>
              <w:t>2. The Digital Value Problem</w:t>
              <w:tab/>
              <w:t>11</w:t>
            </w:r>
          </w:hyperlink>
        </w:p>
        <w:p>
          <w:pPr>
            <w:pStyle w:val="TOC2"/>
            <w:tabs>
              <w:tab w:val="clear" w:pos="9355"/>
              <w:tab w:val="right" w:pos="9637" w:leader="dot"/>
            </w:tabs>
            <w:rPr/>
          </w:pPr>
          <w:hyperlink w:anchor="__RefHeading___Toc8193_528838595">
            <w:r>
              <w:rPr>
                <w:webHidden/>
                <w:rStyle w:val="IndexLink"/>
              </w:rPr>
              <w:t>3. Networks as Measurable Economies</w:t>
              <w:tab/>
              <w:t>13</w:t>
            </w:r>
          </w:hyperlink>
        </w:p>
        <w:p>
          <w:pPr>
            <w:pStyle w:val="TOC2"/>
            <w:tabs>
              <w:tab w:val="clear" w:pos="9355"/>
              <w:tab w:val="right" w:pos="9637" w:leader="dot"/>
            </w:tabs>
            <w:rPr/>
          </w:pPr>
          <w:hyperlink w:anchor="__RefHeading___Toc8207_528838595">
            <w:r>
              <w:rPr>
                <w:webHidden/>
                <w:rStyle w:val="IndexLink"/>
              </w:rPr>
              <w:t>4. Constitutional Principles</w:t>
              <w:tab/>
              <w:t>15</w:t>
            </w:r>
          </w:hyperlink>
        </w:p>
        <w:p>
          <w:pPr>
            <w:pStyle w:val="TOC1"/>
            <w:tabs>
              <w:tab w:val="clear" w:pos="9638"/>
              <w:tab w:val="right" w:pos="9637" w:leader="dot"/>
            </w:tabs>
            <w:rPr/>
          </w:pPr>
          <w:hyperlink w:anchor="__RefHeading___Toc8229_528838595">
            <w:r>
              <w:rPr>
                <w:webHidden/>
                <w:rStyle w:val="IndexLink"/>
              </w:rPr>
              <w:t>Part II — Architecture, Data and Measurement</w:t>
              <w:tab/>
              <w:t>17</w:t>
            </w:r>
          </w:hyperlink>
        </w:p>
        <w:p>
          <w:pPr>
            <w:pStyle w:val="TOC2"/>
            <w:tabs>
              <w:tab w:val="clear" w:pos="9355"/>
              <w:tab w:val="right" w:pos="9637" w:leader="dot"/>
            </w:tabs>
            <w:rPr/>
          </w:pPr>
          <w:hyperlink w:anchor="__RefHeading___Toc8231_528838595">
            <w:r>
              <w:rPr>
                <w:webHidden/>
                <w:rStyle w:val="IndexLink"/>
              </w:rPr>
              <w:t>5. System Architecture</w:t>
              <w:tab/>
              <w:t>18</w:t>
            </w:r>
          </w:hyperlink>
        </w:p>
        <w:p>
          <w:pPr>
            <w:pStyle w:val="TOC2"/>
            <w:tabs>
              <w:tab w:val="clear" w:pos="9355"/>
              <w:tab w:val="right" w:pos="9637" w:leader="dot"/>
            </w:tabs>
            <w:rPr/>
          </w:pPr>
          <w:hyperlink w:anchor="__RefHeading___Toc8247_528838595">
            <w:r>
              <w:rPr>
                <w:webHidden/>
                <w:rStyle w:val="IndexLink"/>
              </w:rPr>
              <w:t>6. Data-Source Hierarchy and Provenance</w:t>
              <w:tab/>
              <w:t>27</w:t>
            </w:r>
          </w:hyperlink>
        </w:p>
        <w:p>
          <w:pPr>
            <w:pStyle w:val="TOC2"/>
            <w:tabs>
              <w:tab w:val="clear" w:pos="9355"/>
              <w:tab w:val="right" w:pos="9637" w:leader="dot"/>
            </w:tabs>
            <w:rPr/>
          </w:pPr>
          <w:hyperlink w:anchor="__RefHeading___Toc8261_528838595">
            <w:r>
              <w:rPr>
                <w:webHidden/>
                <w:rStyle w:val="IndexLink"/>
              </w:rPr>
              <w:t>7. Universal Definitions and Chain-Specific Adapters</w:t>
              <w:tab/>
              <w:t>29</w:t>
            </w:r>
          </w:hyperlink>
        </w:p>
        <w:p>
          <w:pPr>
            <w:pStyle w:val="TOC2"/>
            <w:tabs>
              <w:tab w:val="clear" w:pos="9355"/>
              <w:tab w:val="right" w:pos="9637" w:leader="dot"/>
            </w:tabs>
            <w:rPr/>
          </w:pPr>
          <w:hyperlink w:anchor="__RefHeading___Toc8275_528838595">
            <w:r>
              <w:rPr>
                <w:webHidden/>
                <w:rStyle w:val="IndexLink"/>
              </w:rPr>
              <w:t>8. Normalisation, Directionality and Smoothing</w:t>
              <w:tab/>
              <w:t>31</w:t>
            </w:r>
          </w:hyperlink>
        </w:p>
        <w:p>
          <w:pPr>
            <w:pStyle w:val="TOC2"/>
            <w:tabs>
              <w:tab w:val="clear" w:pos="9355"/>
              <w:tab w:val="right" w:pos="9637" w:leader="dot"/>
            </w:tabs>
            <w:rPr/>
          </w:pPr>
          <w:hyperlink w:anchor="__RefHeading___Toc8297_528838595">
            <w:r>
              <w:rPr>
                <w:webHidden/>
                <w:rStyle w:val="IndexLink"/>
              </w:rPr>
              <w:t>9. Economic Reference Unit</w:t>
              <w:tab/>
              <w:t>34</w:t>
            </w:r>
          </w:hyperlink>
        </w:p>
        <w:p>
          <w:pPr>
            <w:pStyle w:val="TOC1"/>
            <w:tabs>
              <w:tab w:val="clear" w:pos="9638"/>
              <w:tab w:val="right" w:pos="9637" w:leader="dot"/>
            </w:tabs>
            <w:rPr/>
          </w:pPr>
          <w:hyperlink w:anchor="__RefHeading___Toc8311_528838595">
            <w:r>
              <w:rPr>
                <w:webHidden/>
                <w:rStyle w:val="IndexLink"/>
              </w:rPr>
              <w:t>Part III — The Six-Index VTS Engine</w:t>
              <w:tab/>
              <w:t>36</w:t>
            </w:r>
          </w:hyperlink>
        </w:p>
        <w:p>
          <w:pPr>
            <w:pStyle w:val="TOC2"/>
            <w:tabs>
              <w:tab w:val="clear" w:pos="9355"/>
              <w:tab w:val="right" w:pos="9637" w:leader="dot"/>
            </w:tabs>
            <w:rPr/>
          </w:pPr>
          <w:hyperlink w:anchor="__RefHeading___Toc8313_528838595">
            <w:r>
              <w:rPr>
                <w:webHidden/>
                <w:rStyle w:val="IndexLink"/>
              </w:rPr>
              <w:t>10. Value Transfer Score</w:t>
              <w:tab/>
              <w:t>37</w:t>
            </w:r>
          </w:hyperlink>
        </w:p>
        <w:p>
          <w:pPr>
            <w:pStyle w:val="TOC2"/>
            <w:tabs>
              <w:tab w:val="clear" w:pos="9355"/>
              <w:tab w:val="right" w:pos="9637" w:leader="dot"/>
            </w:tabs>
            <w:rPr/>
          </w:pPr>
          <w:hyperlink w:anchor="__RefHeading___Toc8325_528838595">
            <w:r>
              <w:rPr>
                <w:webHidden/>
                <w:rStyle w:val="IndexLink"/>
              </w:rPr>
              <w:t>11. Proof of Value (PoV)</w:t>
              <w:tab/>
              <w:t>39</w:t>
            </w:r>
          </w:hyperlink>
        </w:p>
        <w:p>
          <w:pPr>
            <w:pStyle w:val="TOC2"/>
            <w:tabs>
              <w:tab w:val="clear" w:pos="9355"/>
              <w:tab w:val="right" w:pos="9637" w:leader="dot"/>
            </w:tabs>
            <w:rPr/>
          </w:pPr>
          <w:hyperlink w:anchor="__RefHeading___Toc8345_528838595">
            <w:r>
              <w:rPr>
                <w:webHidden/>
                <w:rStyle w:val="IndexLink"/>
              </w:rPr>
              <w:t>12. On-Chain Participation Index (OPI)</w:t>
              <w:tab/>
              <w:t>42</w:t>
            </w:r>
          </w:hyperlink>
        </w:p>
        <w:p>
          <w:pPr>
            <w:pStyle w:val="TOC2"/>
            <w:tabs>
              <w:tab w:val="clear" w:pos="9355"/>
              <w:tab w:val="right" w:pos="9637" w:leader="dot"/>
            </w:tabs>
            <w:rPr/>
          </w:pPr>
          <w:hyperlink w:anchor="__RefHeading___Toc8363_528838595">
            <w:r>
              <w:rPr>
                <w:webHidden/>
                <w:rStyle w:val="IndexLink"/>
              </w:rPr>
              <w:t>13. Decentralised Liquidity Index (DLI)</w:t>
              <w:tab/>
              <w:t>44</w:t>
            </w:r>
          </w:hyperlink>
        </w:p>
        <w:p>
          <w:pPr>
            <w:pStyle w:val="TOC2"/>
            <w:tabs>
              <w:tab w:val="clear" w:pos="9355"/>
              <w:tab w:val="right" w:pos="9637" w:leader="dot"/>
            </w:tabs>
            <w:rPr/>
          </w:pPr>
          <w:hyperlink w:anchor="__RefHeading___Toc8383_528838595">
            <w:r>
              <w:rPr>
                <w:webHidden/>
                <w:rStyle w:val="IndexLink"/>
              </w:rPr>
              <w:t>14. Protocol Integrity Index (PII)</w:t>
              <w:tab/>
              <w:t>46</w:t>
            </w:r>
          </w:hyperlink>
        </w:p>
        <w:p>
          <w:pPr>
            <w:pStyle w:val="TOC2"/>
            <w:tabs>
              <w:tab w:val="clear" w:pos="9355"/>
              <w:tab w:val="right" w:pos="9637" w:leader="dot"/>
            </w:tabs>
            <w:rPr/>
          </w:pPr>
          <w:hyperlink w:anchor="__RefHeading___Toc8401_528838595">
            <w:r>
              <w:rPr>
                <w:webHidden/>
                <w:rStyle w:val="IndexLink"/>
              </w:rPr>
              <w:t>15. Real-World Adoption Index (RWAI)</w:t>
              <w:tab/>
              <w:t>48</w:t>
            </w:r>
          </w:hyperlink>
        </w:p>
        <w:p>
          <w:pPr>
            <w:pStyle w:val="TOC2"/>
            <w:tabs>
              <w:tab w:val="clear" w:pos="9355"/>
              <w:tab w:val="right" w:pos="9637" w:leader="dot"/>
            </w:tabs>
            <w:rPr/>
          </w:pPr>
          <w:hyperlink w:anchor="__RefHeading___Toc8421_528838595">
            <w:r>
              <w:rPr>
                <w:webHidden/>
                <w:rStyle w:val="IndexLink"/>
              </w:rPr>
              <w:t>16. Economic Resilience Index (ERI)</w:t>
              <w:tab/>
              <w:t>51</w:t>
            </w:r>
          </w:hyperlink>
        </w:p>
        <w:p>
          <w:pPr>
            <w:pStyle w:val="TOC2"/>
            <w:tabs>
              <w:tab w:val="clear" w:pos="9355"/>
              <w:tab w:val="right" w:pos="9637" w:leader="dot"/>
            </w:tabs>
            <w:rPr/>
          </w:pPr>
          <w:hyperlink w:anchor="__RefHeading___Toc8443_528838595">
            <w:r>
              <w:rPr>
                <w:webHidden/>
                <w:rStyle w:val="IndexLink"/>
              </w:rPr>
              <w:t>17. Aggregation, Missing Data and Publication Rules</w:t>
              <w:tab/>
              <w:t>54</w:t>
            </w:r>
          </w:hyperlink>
        </w:p>
        <w:p>
          <w:pPr>
            <w:pStyle w:val="TOC1"/>
            <w:tabs>
              <w:tab w:val="clear" w:pos="9638"/>
              <w:tab w:val="right" w:pos="9637" w:leader="dot"/>
            </w:tabs>
            <w:rPr/>
          </w:pPr>
          <w:hyperlink w:anchor="__RefHeading___Toc8461_528838595">
            <w:r>
              <w:rPr>
                <w:webHidden/>
                <w:rStyle w:val="IndexLink"/>
              </w:rPr>
              <w:t>Part IV — Recognition, Opportunity, Risk and Confidence</w:t>
              <w:tab/>
              <w:t>56</w:t>
            </w:r>
          </w:hyperlink>
        </w:p>
        <w:p>
          <w:pPr>
            <w:pStyle w:val="TOC2"/>
            <w:tabs>
              <w:tab w:val="clear" w:pos="9355"/>
              <w:tab w:val="right" w:pos="9637" w:leader="dot"/>
            </w:tabs>
            <w:rPr/>
          </w:pPr>
          <w:hyperlink w:anchor="__RefHeading___Toc8463_528838595">
            <w:r>
              <w:rPr>
                <w:webHidden/>
                <w:rStyle w:val="IndexLink"/>
              </w:rPr>
              <w:t>18. Value Recognition Index (VRI)</w:t>
              <w:tab/>
              <w:t>57</w:t>
            </w:r>
          </w:hyperlink>
        </w:p>
        <w:p>
          <w:pPr>
            <w:pStyle w:val="TOC2"/>
            <w:tabs>
              <w:tab w:val="clear" w:pos="9355"/>
              <w:tab w:val="right" w:pos="9637" w:leader="dot"/>
            </w:tabs>
            <w:rPr/>
          </w:pPr>
          <w:hyperlink w:anchor="__RefHeading___Toc8481_528838595">
            <w:r>
              <w:rPr>
                <w:webHidden/>
                <w:rStyle w:val="IndexLink"/>
              </w:rPr>
              <w:t>19. Opportunity Gap</w:t>
              <w:tab/>
              <w:t>59</w:t>
            </w:r>
          </w:hyperlink>
        </w:p>
        <w:p>
          <w:pPr>
            <w:pStyle w:val="TOC2"/>
            <w:tabs>
              <w:tab w:val="clear" w:pos="9355"/>
              <w:tab w:val="right" w:pos="9637" w:leader="dot"/>
            </w:tabs>
            <w:rPr/>
          </w:pPr>
          <w:hyperlink w:anchor="__RefHeading___Toc8493_528838595">
            <w:r>
              <w:rPr>
                <w:webHidden/>
                <w:rStyle w:val="IndexLink"/>
              </w:rPr>
              <w:t>20. VOX Risk Score (VRS)</w:t>
              <w:tab/>
              <w:t>61</w:t>
            </w:r>
          </w:hyperlink>
        </w:p>
        <w:p>
          <w:pPr>
            <w:pStyle w:val="TOC2"/>
            <w:tabs>
              <w:tab w:val="clear" w:pos="9355"/>
              <w:tab w:val="right" w:pos="9637" w:leader="dot"/>
            </w:tabs>
            <w:rPr/>
          </w:pPr>
          <w:hyperlink w:anchor="__RefHeading___Toc8513_528838595">
            <w:r>
              <w:rPr>
                <w:webHidden/>
                <w:rStyle w:val="IndexLink"/>
              </w:rPr>
              <w:t>21. VOX Confidence Score (VCS)</w:t>
              <w:tab/>
              <w:t>63</w:t>
            </w:r>
          </w:hyperlink>
        </w:p>
        <w:p>
          <w:pPr>
            <w:pStyle w:val="TOC1"/>
            <w:tabs>
              <w:tab w:val="clear" w:pos="9638"/>
              <w:tab w:val="right" w:pos="9637" w:leader="dot"/>
            </w:tabs>
            <w:rPr/>
          </w:pPr>
          <w:hyperlink w:anchor="__RefHeading___Toc8533_528838595">
            <w:r>
              <w:rPr>
                <w:webHidden/>
                <w:rStyle w:val="IndexLink"/>
              </w:rPr>
              <w:t>Part V — VOX Units and V-FOREX</w:t>
              <w:tab/>
              <w:t>65</w:t>
            </w:r>
          </w:hyperlink>
        </w:p>
        <w:p>
          <w:pPr>
            <w:pStyle w:val="TOC2"/>
            <w:tabs>
              <w:tab w:val="clear" w:pos="9355"/>
              <w:tab w:val="right" w:pos="9637" w:leader="dot"/>
            </w:tabs>
            <w:rPr/>
          </w:pPr>
          <w:hyperlink w:anchor="__RefHeading___Toc8535_528838595">
            <w:r>
              <w:rPr>
                <w:webHidden/>
                <w:rStyle w:val="IndexLink"/>
              </w:rPr>
              <w:t>22. VOX as an Analytical Unit</w:t>
              <w:tab/>
              <w:t>66</w:t>
            </w:r>
          </w:hyperlink>
        </w:p>
        <w:p>
          <w:pPr>
            <w:pStyle w:val="TOC2"/>
            <w:tabs>
              <w:tab w:val="clear" w:pos="9355"/>
              <w:tab w:val="right" w:pos="9637" w:leader="dot"/>
            </w:tabs>
            <w:rPr/>
          </w:pPr>
          <w:hyperlink w:anchor="__RefHeading___Toc8545_528838595">
            <w:r>
              <w:rPr>
                <w:webHidden/>
                <w:rStyle w:val="IndexLink"/>
              </w:rPr>
              <w:t>23. Optional Tokenised VOX</w:t>
              <w:tab/>
              <w:t>67</w:t>
            </w:r>
          </w:hyperlink>
        </w:p>
        <w:p>
          <w:pPr>
            <w:pStyle w:val="TOC2"/>
            <w:tabs>
              <w:tab w:val="clear" w:pos="9355"/>
              <w:tab w:val="right" w:pos="9637" w:leader="dot"/>
            </w:tabs>
            <w:rPr/>
          </w:pPr>
          <w:hyperlink w:anchor="__RefHeading___Toc8565_528838595">
            <w:r>
              <w:rPr>
                <w:webHidden/>
                <w:rStyle w:val="IndexLink"/>
              </w:rPr>
              <w:t>24. VOX Digital Forex Market (V-FOREX)</w:t>
              <w:tab/>
              <w:t>70</w:t>
            </w:r>
          </w:hyperlink>
        </w:p>
        <w:p>
          <w:pPr>
            <w:pStyle w:val="TOC2"/>
            <w:tabs>
              <w:tab w:val="clear" w:pos="9355"/>
              <w:tab w:val="right" w:pos="9637" w:leader="dot"/>
            </w:tabs>
            <w:rPr/>
          </w:pPr>
          <w:hyperlink w:anchor="__RefHeading___Toc8583_528838595">
            <w:r>
              <w:rPr>
                <w:webHidden/>
                <w:rStyle w:val="IndexLink"/>
              </w:rPr>
              <w:t>25. Market, Cross-Chain and Settlement Risks</w:t>
              <w:tab/>
              <w:t>72</w:t>
            </w:r>
          </w:hyperlink>
        </w:p>
        <w:p>
          <w:pPr>
            <w:pStyle w:val="TOC1"/>
            <w:tabs>
              <w:tab w:val="clear" w:pos="9638"/>
              <w:tab w:val="right" w:pos="9637" w:leader="dot"/>
            </w:tabs>
            <w:rPr/>
          </w:pPr>
          <w:hyperlink w:anchor="__RefHeading___Toc8601_528838595">
            <w:r>
              <w:rPr>
                <w:webHidden/>
                <w:rStyle w:val="IndexLink"/>
              </w:rPr>
              <w:t>Part VI — Governance, Transparency and Infrastructure</w:t>
              <w:tab/>
              <w:t>74</w:t>
            </w:r>
          </w:hyperlink>
        </w:p>
        <w:p>
          <w:pPr>
            <w:pStyle w:val="TOC2"/>
            <w:tabs>
              <w:tab w:val="clear" w:pos="9355"/>
              <w:tab w:val="right" w:pos="9637" w:leader="dot"/>
            </w:tabs>
            <w:rPr/>
          </w:pPr>
          <w:hyperlink w:anchor="__RefHeading___Toc8603_528838595">
            <w:r>
              <w:rPr>
                <w:webHidden/>
                <w:rStyle w:val="IndexLink"/>
              </w:rPr>
              <w:t>26. The VOX DAO</w:t>
              <w:tab/>
              <w:t>75</w:t>
            </w:r>
          </w:hyperlink>
        </w:p>
        <w:p>
          <w:pPr>
            <w:pStyle w:val="TOC2"/>
            <w:tabs>
              <w:tab w:val="clear" w:pos="9355"/>
              <w:tab w:val="right" w:pos="9637" w:leader="dot"/>
            </w:tabs>
            <w:rPr/>
          </w:pPr>
          <w:hyperlink w:anchor="__RefHeading___Toc8617_528838595">
            <w:r>
              <w:rPr>
                <w:webHidden/>
                <w:rStyle w:val="IndexLink"/>
              </w:rPr>
              <w:t>27. Governance Mechanics and Capture Resistance</w:t>
              <w:tab/>
              <w:t>77</w:t>
            </w:r>
          </w:hyperlink>
        </w:p>
        <w:p>
          <w:pPr>
            <w:pStyle w:val="TOC2"/>
            <w:tabs>
              <w:tab w:val="clear" w:pos="9355"/>
              <w:tab w:val="right" w:pos="9637" w:leader="dot"/>
            </w:tabs>
            <w:rPr/>
          </w:pPr>
          <w:hyperlink w:anchor="__RefHeading___Toc8631_528838595">
            <w:r>
              <w:rPr>
                <w:webHidden/>
                <w:rStyle w:val="IndexLink"/>
              </w:rPr>
              <w:t>28. Versioning, Audit and Dispute Resolution</w:t>
              <w:tab/>
              <w:t>79</w:t>
            </w:r>
          </w:hyperlink>
        </w:p>
        <w:p>
          <w:pPr>
            <w:pStyle w:val="TOC2"/>
            <w:tabs>
              <w:tab w:val="clear" w:pos="9355"/>
              <w:tab w:val="right" w:pos="9637" w:leader="dot"/>
            </w:tabs>
            <w:rPr/>
          </w:pPr>
          <w:hyperlink w:anchor="__RefHeading___Toc8645_528838595">
            <w:r>
              <w:rPr>
                <w:webHidden/>
                <w:rStyle w:val="IndexLink"/>
              </w:rPr>
              <w:t>29. VoxUI Transparency Layer</w:t>
              <w:tab/>
              <w:t>81</w:t>
            </w:r>
          </w:hyperlink>
        </w:p>
        <w:p>
          <w:pPr>
            <w:pStyle w:val="TOC2"/>
            <w:tabs>
              <w:tab w:val="clear" w:pos="9355"/>
              <w:tab w:val="right" w:pos="9637" w:leader="dot"/>
            </w:tabs>
            <w:rPr/>
          </w:pPr>
          <w:hyperlink w:anchor="__RefHeading___Toc8661_528838595">
            <w:r>
              <w:rPr>
                <w:webHidden/>
                <w:rStyle w:val="IndexLink"/>
              </w:rPr>
              <w:t>30. Voxonomics API and Reproducibility Standard</w:t>
              <w:tab/>
              <w:t>83</w:t>
            </w:r>
          </w:hyperlink>
        </w:p>
        <w:p>
          <w:pPr>
            <w:pStyle w:val="TOC1"/>
            <w:tabs>
              <w:tab w:val="clear" w:pos="9638"/>
              <w:tab w:val="right" w:pos="9637" w:leader="dot"/>
            </w:tabs>
            <w:rPr/>
          </w:pPr>
          <w:hyperlink w:anchor="__RefHeading___Toc8677_528838595">
            <w:r>
              <w:rPr>
                <w:webHidden/>
                <w:rStyle w:val="IndexLink"/>
              </w:rPr>
              <w:t>Part VII — Validation, Security and Limitations</w:t>
              <w:tab/>
              <w:t>85</w:t>
            </w:r>
          </w:hyperlink>
        </w:p>
        <w:p>
          <w:pPr>
            <w:pStyle w:val="TOC2"/>
            <w:tabs>
              <w:tab w:val="clear" w:pos="9355"/>
              <w:tab w:val="right" w:pos="9637" w:leader="dot"/>
            </w:tabs>
            <w:rPr/>
          </w:pPr>
          <w:hyperlink w:anchor="__RefHeading___Toc8679_528838595">
            <w:r>
              <w:rPr>
                <w:webHidden/>
                <w:rStyle w:val="IndexLink"/>
              </w:rPr>
              <w:t>31. Validation Framework</w:t>
              <w:tab/>
              <w:t>86</w:t>
            </w:r>
          </w:hyperlink>
        </w:p>
        <w:p>
          <w:pPr>
            <w:pStyle w:val="TOC2"/>
            <w:tabs>
              <w:tab w:val="clear" w:pos="9355"/>
              <w:tab w:val="right" w:pos="9637" w:leader="dot"/>
            </w:tabs>
            <w:rPr/>
          </w:pPr>
          <w:hyperlink w:anchor="__RefHeading___Toc8699_528838595">
            <w:r>
              <w:rPr>
                <w:webHidden/>
                <w:rStyle w:val="IndexLink"/>
              </w:rPr>
              <w:t>32. Manipulation Resistance</w:t>
              <w:tab/>
              <w:t>88</w:t>
            </w:r>
          </w:hyperlink>
        </w:p>
        <w:p>
          <w:pPr>
            <w:pStyle w:val="TOC2"/>
            <w:tabs>
              <w:tab w:val="clear" w:pos="9355"/>
              <w:tab w:val="right" w:pos="9637" w:leader="dot"/>
            </w:tabs>
            <w:rPr/>
          </w:pPr>
          <w:hyperlink w:anchor="__RefHeading___Toc8719_528838595">
            <w:r>
              <w:rPr>
                <w:webHidden/>
                <w:rStyle w:val="IndexLink"/>
              </w:rPr>
              <w:t>33. Security Architecture</w:t>
              <w:tab/>
              <w:t>90</w:t>
            </w:r>
          </w:hyperlink>
        </w:p>
        <w:p>
          <w:pPr>
            <w:pStyle w:val="TOC2"/>
            <w:tabs>
              <w:tab w:val="clear" w:pos="9355"/>
              <w:tab w:val="right" w:pos="9637" w:leader="dot"/>
            </w:tabs>
            <w:rPr/>
          </w:pPr>
          <w:hyperlink w:anchor="__RefHeading___Toc8739_528838595">
            <w:r>
              <w:rPr>
                <w:webHidden/>
                <w:rStyle w:val="IndexLink"/>
              </w:rPr>
              <w:t>34. Economic, Governance and Legal Risk</w:t>
              <w:tab/>
              <w:t>92</w:t>
            </w:r>
          </w:hyperlink>
        </w:p>
        <w:p>
          <w:pPr>
            <w:pStyle w:val="TOC2"/>
            <w:tabs>
              <w:tab w:val="clear" w:pos="9355"/>
              <w:tab w:val="right" w:pos="9637" w:leader="dot"/>
            </w:tabs>
            <w:rPr/>
          </w:pPr>
          <w:hyperlink w:anchor="__RefHeading___Toc8761_528838595">
            <w:r>
              <w:rPr>
                <w:webHidden/>
                <w:rStyle w:val="IndexLink"/>
              </w:rPr>
              <w:t>35. Limitations and Responsible Interpretation</w:t>
              <w:tab/>
              <w:t>94</w:t>
            </w:r>
          </w:hyperlink>
        </w:p>
        <w:p>
          <w:pPr>
            <w:pStyle w:val="TOC1"/>
            <w:tabs>
              <w:tab w:val="clear" w:pos="9638"/>
              <w:tab w:val="right" w:pos="9637" w:leader="dot"/>
            </w:tabs>
            <w:rPr/>
          </w:pPr>
          <w:hyperlink w:anchor="__RefHeading___Toc8781_528838595">
            <w:r>
              <w:rPr>
                <w:webHidden/>
                <w:rStyle w:val="IndexLink"/>
              </w:rPr>
              <w:t>Part VIII — Implementation and Future Development</w:t>
              <w:tab/>
              <w:t>96</w:t>
            </w:r>
          </w:hyperlink>
        </w:p>
        <w:p>
          <w:pPr>
            <w:pStyle w:val="TOC2"/>
            <w:tabs>
              <w:tab w:val="clear" w:pos="9355"/>
              <w:tab w:val="right" w:pos="9637" w:leader="dot"/>
            </w:tabs>
            <w:rPr/>
          </w:pPr>
          <w:hyperlink w:anchor="__RefHeading___Toc8783_528838595">
            <w:r>
              <w:rPr>
                <w:webHidden/>
                <w:rStyle w:val="IndexLink"/>
              </w:rPr>
              <w:t>36. Roadmap</w:t>
              <w:tab/>
              <w:t>97</w:t>
            </w:r>
          </w:hyperlink>
        </w:p>
        <w:p>
          <w:pPr>
            <w:pStyle w:val="TOC2"/>
            <w:tabs>
              <w:tab w:val="clear" w:pos="9355"/>
              <w:tab w:val="right" w:pos="9637" w:leader="dot"/>
            </w:tabs>
            <w:rPr/>
          </w:pPr>
          <w:hyperlink w:anchor="__RefHeading___Toc8803_528838595">
            <w:r>
              <w:rPr>
                <w:webHidden/>
                <w:rStyle w:val="IndexLink"/>
              </w:rPr>
              <w:t>37. Conclusion</w:t>
              <w:tab/>
              <w:t>100</w:t>
            </w:r>
          </w:hyperlink>
        </w:p>
        <w:p>
          <w:pPr>
            <w:pStyle w:val="TOC1"/>
            <w:tabs>
              <w:tab w:val="clear" w:pos="9638"/>
              <w:tab w:val="right" w:pos="9637" w:leader="dot"/>
            </w:tabs>
            <w:rPr/>
          </w:pPr>
          <w:hyperlink w:anchor="__RefHeading___Toc11397_1706184067">
            <w:r>
              <w:rPr>
                <w:webHidden/>
                <w:rStyle w:val="IndexLink"/>
              </w:rPr>
              <w:t>Appendices</w:t>
              <w:tab/>
              <w:t>101</w:t>
            </w:r>
          </w:hyperlink>
        </w:p>
        <w:p>
          <w:pPr>
            <w:pStyle w:val="TOC2"/>
            <w:tabs>
              <w:tab w:val="clear" w:pos="9355"/>
              <w:tab w:val="right" w:pos="9637" w:leader="dot"/>
            </w:tabs>
            <w:rPr/>
          </w:pPr>
          <w:hyperlink w:anchor="__RefHeading___Toc8805_528838595">
            <w:r>
              <w:rPr>
                <w:webHidden/>
                <w:rStyle w:val="IndexLink"/>
              </w:rPr>
              <w:t>Appendix A — Mathematical Specification</w:t>
              <w:tab/>
              <w:t>102</w:t>
            </w:r>
          </w:hyperlink>
        </w:p>
        <w:p>
          <w:pPr>
            <w:pStyle w:val="TOC2"/>
            <w:tabs>
              <w:tab w:val="clear" w:pos="9355"/>
              <w:tab w:val="right" w:pos="9637" w:leader="dot"/>
            </w:tabs>
            <w:rPr/>
          </w:pPr>
          <w:hyperlink w:anchor="__RefHeading___Toc8833_528838595">
            <w:r>
              <w:rPr>
                <w:webHidden/>
                <w:rStyle w:val="IndexLink"/>
              </w:rPr>
              <w:t>Appendix B — Canonical Metric Registry</w:t>
              <w:tab/>
              <w:t>105</w:t>
            </w:r>
          </w:hyperlink>
        </w:p>
        <w:p>
          <w:pPr>
            <w:pStyle w:val="TOC2"/>
            <w:tabs>
              <w:tab w:val="clear" w:pos="9355"/>
              <w:tab w:val="right" w:pos="9637" w:leader="dot"/>
            </w:tabs>
            <w:rPr/>
          </w:pPr>
          <w:hyperlink w:anchor="__RefHeading___Toc8847_528838595">
            <w:r>
              <w:rPr>
                <w:webHidden/>
                <w:rStyle w:val="IndexLink"/>
              </w:rPr>
              <w:t>Appendix C — Worked VTS Example</w:t>
              <w:tab/>
              <w:t>108</w:t>
            </w:r>
          </w:hyperlink>
        </w:p>
        <w:p>
          <w:pPr>
            <w:pStyle w:val="TOC2"/>
            <w:tabs>
              <w:tab w:val="clear" w:pos="9355"/>
              <w:tab w:val="right" w:pos="9637" w:leader="dot"/>
            </w:tabs>
            <w:rPr/>
          </w:pPr>
          <w:hyperlink w:anchor="__RefHeading___Toc8851_528838595">
            <w:r>
              <w:rPr>
                <w:webHidden/>
                <w:rStyle w:val="IndexLink"/>
              </w:rPr>
              <w:t>Appendix D — Worked V-FOREX and VOX Example</w:t>
              <w:tab/>
              <w:t>110</w:t>
            </w:r>
          </w:hyperlink>
        </w:p>
        <w:p>
          <w:pPr>
            <w:pStyle w:val="TOC2"/>
            <w:tabs>
              <w:tab w:val="clear" w:pos="9355"/>
              <w:tab w:val="right" w:pos="9637" w:leader="dot"/>
            </w:tabs>
            <w:rPr/>
          </w:pPr>
          <w:hyperlink w:anchor="__RefHeading___Toc8857_528838595">
            <w:r>
              <w:rPr>
                <w:webHidden/>
                <w:rStyle w:val="IndexLink"/>
              </w:rPr>
              <w:t>Appendix E — Adapter Standard</w:t>
              <w:tab/>
              <w:t>112</w:t>
            </w:r>
          </w:hyperlink>
        </w:p>
        <w:p>
          <w:pPr>
            <w:pStyle w:val="TOC2"/>
            <w:tabs>
              <w:tab w:val="clear" w:pos="9355"/>
              <w:tab w:val="right" w:pos="9637" w:leader="dot"/>
            </w:tabs>
            <w:rPr/>
          </w:pPr>
          <w:hyperlink w:anchor="__RefHeading___Toc8863_528838595">
            <w:r>
              <w:rPr>
                <w:webHidden/>
                <w:rStyle w:val="IndexLink"/>
              </w:rPr>
              <w:t>Appendix F — Data Quality and Confidence Rules</w:t>
              <w:tab/>
              <w:t>113</w:t>
            </w:r>
          </w:hyperlink>
        </w:p>
        <w:p>
          <w:pPr>
            <w:pStyle w:val="TOC2"/>
            <w:tabs>
              <w:tab w:val="clear" w:pos="9355"/>
              <w:tab w:val="right" w:pos="9637" w:leader="dot"/>
            </w:tabs>
            <w:rPr/>
          </w:pPr>
          <w:hyperlink w:anchor="__RefHeading___Toc8873_528838595">
            <w:r>
              <w:rPr>
                <w:webHidden/>
                <w:rStyle w:val="IndexLink"/>
              </w:rPr>
              <w:t>Appendix G — Governance Proposal Template</w:t>
              <w:tab/>
              <w:t>114</w:t>
            </w:r>
          </w:hyperlink>
        </w:p>
        <w:p>
          <w:pPr>
            <w:pStyle w:val="TOC2"/>
            <w:tabs>
              <w:tab w:val="clear" w:pos="9355"/>
              <w:tab w:val="right" w:pos="9637" w:leader="dot"/>
            </w:tabs>
            <w:rPr/>
          </w:pPr>
          <w:hyperlink w:anchor="__RefHeading___Toc8875_528838595">
            <w:r>
              <w:rPr>
                <w:webHidden/>
                <w:rStyle w:val="IndexLink"/>
              </w:rPr>
              <w:t>Appendix H — Public API Reproduction Example</w:t>
              <w:tab/>
              <w:t>115</w:t>
            </w:r>
          </w:hyperlink>
        </w:p>
        <w:p>
          <w:pPr>
            <w:pStyle w:val="TOC2"/>
            <w:tabs>
              <w:tab w:val="clear" w:pos="9355"/>
              <w:tab w:val="right" w:pos="9637" w:leader="dot"/>
            </w:tabs>
            <w:rPr/>
          </w:pPr>
          <w:hyperlink w:anchor="__RefHeading___Toc8877_528838595">
            <w:r>
              <w:rPr>
                <w:webHidden/>
                <w:rStyle w:val="IndexLink"/>
              </w:rPr>
              <w:t>Appendix I — Comparison with Traditional Economic and Financial Measures</w:t>
              <w:tab/>
              <w:t>116</w:t>
            </w:r>
          </w:hyperlink>
        </w:p>
        <w:p>
          <w:pPr>
            <w:pStyle w:val="TOC2"/>
            <w:tabs>
              <w:tab w:val="clear" w:pos="9355"/>
              <w:tab w:val="right" w:pos="9637" w:leader="dot"/>
            </w:tabs>
            <w:rPr/>
          </w:pPr>
          <w:hyperlink w:anchor="__RefHeading___Toc8879_528838595">
            <w:r>
              <w:rPr>
                <w:webHidden/>
                <w:rStyle w:val="IndexLink"/>
              </w:rPr>
              <w:t>Appendix J — Glossary</w:t>
              <w:tab/>
              <w:t>117</w:t>
            </w:r>
          </w:hyperlink>
        </w:p>
        <w:p>
          <w:pPr>
            <w:pStyle w:val="TOC2"/>
            <w:tabs>
              <w:tab w:val="clear" w:pos="9355"/>
              <w:tab w:val="right" w:pos="9637" w:leader="dot"/>
            </w:tabs>
            <w:rPr/>
          </w:pPr>
          <w:hyperlink w:anchor="__RefHeading___Toc8881_528838595">
            <w:r>
              <w:rPr>
                <w:webHidden/>
                <w:rStyle w:val="IndexLink"/>
              </w:rPr>
              <w:t>Appendix K — References</w:t>
              <w:tab/>
              <w:t>118</w:t>
            </w:r>
          </w:hyperlink>
        </w:p>
        <w:p>
          <w:pPr>
            <w:pStyle w:val="TOC2"/>
            <w:tabs>
              <w:tab w:val="clear" w:pos="9355"/>
              <w:tab w:val="right" w:pos="9637" w:leader="dot"/>
            </w:tabs>
            <w:rPr/>
          </w:pPr>
          <w:hyperlink w:anchor="__RefHeading___Toc8883_528838595">
            <w:r>
              <w:rPr>
                <w:webHidden/>
                <w:rStyle w:val="IndexLink"/>
              </w:rPr>
              <w:t>Appendix L — Edition 3.1 Change Log</w:t>
              <w:tab/>
              <w:t>119</w:t>
            </w:r>
          </w:hyperlink>
          <w:r>
            <w:rPr>
              <w:rStyle w:val="IndexLink"/>
            </w:rPr>
          </w:r>
        </w:p>
        <w:p>
          <w:pPr>
            <w:pStyle w:val="TOC2"/>
            <w:tabs>
              <w:tab w:val="clear" w:pos="9355"/>
              <w:tab w:val="right" w:pos="9637" w:leader="dot"/>
            </w:tabs>
            <w:rPr/>
          </w:pPr>
          <w:hyperlink w:anchor="VoxSecureNodeAppendix">
            <w:r>
              <w:rPr>
                <w:webHidden/>
                <w:rStyle w:val="IndexLink"/>
              </w:rPr>
              <w:t>Appendix M Secure Vox Node and Vox Cloud architecture</w:t>
              <w:tab/>
              <w:t>122</w:t>
            </w:r>
          </w:hyperlink>
          <w:r>
            <w:rPr>
              <w:rStyle w:val="IndexLink"/>
            </w:rPr>
          </w:r>
          <w:r>
            <w:fldChar w:fldCharType="end"/>
          </w:r>
        </w:p>
      </w:sdtContent>
    </w:sdt>
    <w:p>
      <w:pPr>
        <w:pStyle w:val="Heading1"/>
        <w:keepNext w:val="true"/>
        <w:keepLines/>
        <w:widowControl/>
        <w:numPr>
          <w:ilvl w:val="0"/>
          <w:numId w:val="0"/>
        </w:numPr>
        <w:pBdr>
          <w:bottom w:val="single" w:sz="6" w:space="5" w:color="8AB2BF"/>
        </w:pBdr>
        <w:ind w:hanging="0" w:start="0"/>
        <w:jc w:val="start"/>
        <w:outlineLvl w:val="0"/>
        <w:rPr/>
      </w:pPr>
      <w:bookmarkStart w:id="0" w:name="__RefHeading___Toc8147_528838595"/>
      <w:bookmarkStart w:id="1" w:name="publication-notice"/>
      <w:bookmarkEnd w:id="0"/>
      <w:r>
        <w:rPr/>
        <w:t>Publication Notice</w:t>
      </w:r>
    </w:p>
    <w:p>
      <w:pPr>
        <w:pStyle w:val="Normal"/>
        <w:rPr/>
      </w:pPr>
      <w:r>
        <w:rPr>
          <w:b/>
          <w:bCs/>
        </w:rPr>
        <w:t>Edition:</w:t>
      </w:r>
      <w:r>
        <w:rPr/>
        <w:t xml:space="preserve"> 3.1 — Final Publication Edition</w:t>
        <w:br/>
      </w:r>
      <w:r>
        <w:rPr>
          <w:b/>
          <w:bCs/>
        </w:rPr>
        <w:t>Publication date:</w:t>
      </w:r>
      <w:r>
        <w:rPr/>
        <w:t xml:space="preserve"> July 2026</w:t>
        <w:br/>
      </w:r>
      <w:r>
        <w:rPr>
          <w:b/>
          <w:bCs/>
        </w:rPr>
        <w:t>Document status:</w:t>
      </w:r>
      <w:r>
        <w:rPr/>
        <w:t xml:space="preserve"> Constitutional and technical specification for the Voxonomics research framework</w:t>
      </w:r>
    </w:p>
    <w:p>
      <w:pPr>
        <w:pStyle w:val="BodyText"/>
        <w:widowControl/>
        <w:rPr/>
      </w:pPr>
      <w:r>
        <w:rPr/>
        <w:t>Voxonomics is an open economic measurement concept for evaluating public blockchain networks using comparable, reproducible and governable data standards. This whitepaper defines the constitutional principles, measurement methodology, analytical outputs, governance architecture and staged implementation path of the framework.</w:t>
      </w:r>
    </w:p>
    <w:p>
      <w:pPr>
        <w:pStyle w:val="BodyText"/>
        <w:widowControl/>
        <w:rPr/>
      </w:pPr>
      <w:r>
        <w:rPr/>
        <w:t>This document is not an offer to sell securities, an investment recommendation, a guarantee of financial return, or a representation that any token, protocol, market or decentralised autonomous organisation described here is currently deployed. References to VOX assets and the VOX Digital Forex Market describe an optional future implementation layer that is subject to technical validation, independent audits, legal review, liquidity safeguards and decentralised governance approval.</w:t>
      </w:r>
    </w:p>
    <w:p>
      <w:pPr>
        <w:pStyle w:val="BodyText"/>
        <w:widowControl/>
        <w:rPr/>
      </w:pPr>
      <w:r>
        <w:rPr/>
        <w:t xml:space="preserve">The phrase </w:t>
      </w:r>
      <w:r>
        <w:rPr>
          <w:b/>
          <w:bCs/>
        </w:rPr>
        <w:t>final edition</w:t>
      </w:r>
      <w:r>
        <w:rPr/>
        <w:t xml:space="preserve"> means that this document is the definitive Edition 3.1 statement of the framework. It does not prevent transparent future versioning. Any later amendment must be published with a complete change log, migration rules, impact analysis and preserved historical calculations.</w:t>
      </w:r>
      <w:bookmarkEnd w:id="1"/>
    </w:p>
    <w:p>
      <w:pPr>
        <w:pStyle w:val="BodyText"/>
      </w:pPr>
      <w:r>
        <w:t>Collector FLOW architecture amendment — 28 September 2026. Adds Sections 5.8–5.13; implementation validation and certification remain separate from this design contract.</w:t>
      </w:r>
    </w:p>
    <w:p>
      <w:pPr>
        <w:pStyle w:val="BodyText"/>
        <w:spacing w:before="0" w:after="120" w:line="250" w:lineRule="auto"/>
      </w:pPr>
      <w:r>
        <w:rPr>
          <w:color w:val="000000"/>
          <w:sz w:val="22"/>
        </w:rPr>
        <w:t>Secure Vox Node architecture amendment — 30 September 2026. Appendix M specifies proposed Vox Cloud and independently operated Vox in a Box nodes, security controls, service tiers and staged acceptance. Decentralized operation and consensus are not claimed as implemented. See Appendix L.2 for the change record.</w:t>
      </w:r>
    </w:p>
    <w:p>
      <w:pPr>
        <w:pStyle w:val="Heading1"/>
        <w:keepNext w:val="true"/>
        <w:keepLines/>
        <w:widowControl/>
        <w:numPr>
          <w:ilvl w:val="0"/>
          <w:numId w:val="0"/>
        </w:numPr>
        <w:pBdr>
          <w:bottom w:val="single" w:sz="6" w:space="5" w:color="8AB2BF"/>
        </w:pBdr>
        <w:ind w:hanging="0" w:start="0"/>
        <w:jc w:val="start"/>
        <w:outlineLvl w:val="0"/>
        <w:rPr/>
      </w:pPr>
      <w:bookmarkStart w:id="2" w:name="__RefHeading___Toc8149_528838595"/>
      <w:bookmarkEnd w:id="2"/>
      <w:r>
        <w:rPr/>
        <w:t>Abstract</w:t>
      </w:r>
    </w:p>
    <w:p>
      <w:pPr>
        <w:pStyle w:val="Normal"/>
        <w:rPr/>
      </w:pPr>
      <w:r>
        <w:rPr/>
        <w:t>Public blockchains increasingly function as digital economies. They coordinate participants, secure shared state, settle value, host applications, form liquid markets and support governance. Yet they are still compared primarily through token price, market capitalisation, narrative strength and short-term capital flows. These signals matter, but they do not provide a complete or neutral measurement of the economic system operating beneath the asset.</w:t>
      </w:r>
    </w:p>
    <w:p>
      <w:pPr>
        <w:pStyle w:val="BodyText"/>
        <w:widowControl/>
        <w:rPr/>
      </w:pPr>
      <w:r>
        <w:rPr/>
        <w:t xml:space="preserve">Voxonomics introduces a universal framework for measuring blockchain economies through six equally weighted indices: </w:t>
      </w:r>
      <w:r>
        <w:rPr>
          <w:b/>
          <w:bCs/>
        </w:rPr>
        <w:t>Proof of Value (PoV), On-Chain Participation Index (OPI), Decentralised Liquidity Index (DLI), Protocol Integrity Index (PII), Real-World Adoption Index (RWAI), and Economic Resilience Index (ERI)</w:t>
      </w:r>
      <w:r>
        <w:rPr/>
        <w:t>. Each index is built from canonical economic definitions, implemented through chain-specific data adapters, normalised using transparent benchmark rules, and accompanied by provenance and confidence data.</w:t>
      </w:r>
    </w:p>
    <w:p>
      <w:pPr>
        <w:pStyle w:val="BodyText"/>
        <w:widowControl/>
        <w:rPr/>
      </w:pPr>
      <w:r>
        <w:rPr/>
        <w:t xml:space="preserve">The six indices form the </w:t>
      </w:r>
      <w:r>
        <w:rPr>
          <w:b/>
          <w:bCs/>
        </w:rPr>
        <w:t>Value Transfer Score (VTS)</w:t>
      </w:r>
      <w:r>
        <w:rPr/>
        <w:t xml:space="preserve">. VTS measures intrinsic network economic performance; it is not a market-price forecast. A dynamic </w:t>
      </w:r>
      <w:r>
        <w:rPr>
          <w:b/>
          <w:bCs/>
        </w:rPr>
        <w:t>Economic Reference Unit (ERU)</w:t>
      </w:r>
      <w:r>
        <w:rPr/>
        <w:t xml:space="preserve"> converts the raw composite into a standardised scale centred on 1.000000, enabling comparisons through time while allowing exceptional networks to score above one. Separate analytical layers measure market recognition through the </w:t>
      </w:r>
      <w:r>
        <w:rPr>
          <w:b/>
          <w:bCs/>
        </w:rPr>
        <w:t>Value Recognition Index (VRI)</w:t>
      </w:r>
      <w:r>
        <w:rPr/>
        <w:t xml:space="preserve">, relative under- or over-recognition through the </w:t>
      </w:r>
      <w:r>
        <w:rPr>
          <w:b/>
          <w:bCs/>
        </w:rPr>
        <w:t>Opportunity Gap</w:t>
      </w:r>
      <w:r>
        <w:rPr/>
        <w:t xml:space="preserve">, aggregate structural risk through the </w:t>
      </w:r>
      <w:r>
        <w:rPr>
          <w:b/>
          <w:bCs/>
        </w:rPr>
        <w:t>VOX Risk Score (VRS)</w:t>
      </w:r>
      <w:r>
        <w:rPr/>
        <w:t xml:space="preserve">, and evidence quality through the </w:t>
      </w:r>
      <w:r>
        <w:rPr>
          <w:b/>
          <w:bCs/>
        </w:rPr>
        <w:t>VOX Confidence Score (VCS)</w:t>
      </w:r>
      <w:r>
        <w:rPr/>
        <w:t>.</w:t>
      </w:r>
    </w:p>
    <w:p>
      <w:pPr>
        <w:pStyle w:val="BodyText"/>
        <w:widowControl/>
        <w:rPr/>
      </w:pPr>
      <w:bookmarkStart w:id="3" w:name="abstract"/>
      <w:r>
        <w:rPr/>
        <w:t>The framework intentionally separates measurement from monetary implementation. Any public network can be measured without permission where sufficient verifiable data exists. Optional VOX units and V-FOREX markets may only be activated after confidence, audit, governance and market-safety thresholds are met. This separation prevents circular measurement, avoids unsupported claims of automatic market convergence, and preserves the primary purpose of Voxonomics: to establish a transparent economic language for decentralised networks.</w:t>
      </w:r>
      <w:bookmarkEnd w:id="3"/>
    </w:p>
    <w:p>
      <w:pPr>
        <w:pStyle w:val="Heading1"/>
        <w:keepNext w:val="true"/>
        <w:keepLines/>
        <w:widowControl/>
        <w:numPr>
          <w:ilvl w:val="0"/>
          <w:numId w:val="0"/>
        </w:numPr>
        <w:pBdr>
          <w:bottom w:val="single" w:sz="6" w:space="5" w:color="8AB2BF"/>
        </w:pBdr>
        <w:ind w:hanging="0" w:start="0"/>
        <w:jc w:val="start"/>
        <w:outlineLvl w:val="0"/>
        <w:rPr/>
      </w:pPr>
      <w:bookmarkStart w:id="4" w:name="__RefHeading___Toc8151_528838595"/>
      <w:bookmarkEnd w:id="4"/>
      <w:r>
        <w:rPr/>
        <w:t>Executive Summary</w:t>
      </w:r>
    </w:p>
    <w:p>
      <w:pPr>
        <w:pStyle w:val="Heading2"/>
        <w:keepNext w:val="true"/>
        <w:keepLines/>
        <w:widowControl/>
        <w:rPr/>
      </w:pPr>
      <w:bookmarkStart w:id="5" w:name="__RefHeading___Toc8153_528838595"/>
      <w:bookmarkEnd w:id="5"/>
      <w:r>
        <w:rPr/>
        <w:t>The problem</w:t>
      </w:r>
    </w:p>
    <w:p>
      <w:pPr>
        <w:pStyle w:val="Normal"/>
        <w:rPr/>
      </w:pPr>
      <w:r>
        <w:rPr/>
        <w:t>Blockchain networks have created transparent ledgers and programmable economic infrastructure, but the market lacks a shared standard for evaluating them as economies. Token price and market capitalisation measure what the market currently pays. Total value locked measures only one part of capital deployment. Transaction count can be inflated by low-value activity. Revenue can be cyclical or subsidised. Governance participation, decentralisation, liquidity quality, security, adoption and resilience are often examined separately and with incompatible definitions.</w:t>
      </w:r>
    </w:p>
    <w:p>
      <w:pPr>
        <w:pStyle w:val="BodyText"/>
        <w:widowControl/>
        <w:rPr/>
      </w:pPr>
      <w:bookmarkStart w:id="6" w:name="the-problem"/>
      <w:r>
        <w:rPr/>
        <w:t>The absence of a common framework produces three failures. First, fundamentally different networks are compared with incomplete indicators. Second, economic strength and market recognition are treated as the same thing. Third, the quality of the underlying evidence is rarely attached to the headline score.</w:t>
      </w:r>
      <w:bookmarkEnd w:id="6"/>
    </w:p>
    <w:p>
      <w:pPr>
        <w:pStyle w:val="Heading2"/>
        <w:keepNext w:val="true"/>
        <w:keepLines/>
        <w:widowControl/>
        <w:rPr/>
      </w:pPr>
      <w:bookmarkStart w:id="7" w:name="__RefHeading___Toc8155_528838595"/>
      <w:bookmarkStart w:id="8" w:name="the-solution"/>
      <w:bookmarkEnd w:id="7"/>
      <w:r>
        <w:rPr/>
        <w:t>The solution</w:t>
      </w:r>
    </w:p>
    <w:p>
      <w:pPr>
        <w:pStyle w:val="Normal"/>
        <w:rPr/>
      </w:pPr>
      <w:r>
        <w:rPr/>
        <w:t>Voxonomics defines one universal framework with six equally weighted economic indices:</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Index</w:t>
            </w:r>
          </w:p>
        </w:tc>
        <w:tc>
          <w:tcPr>
            <w:tcW w:w="481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Core question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b/>
                <w:bCs/>
                <w:color w:val="232B31"/>
                <w:kern w:val="0"/>
                <w:sz w:val="16"/>
                <w:szCs w:val="22"/>
                <w:lang w:val="en-GB" w:eastAsia="en-US" w:bidi="ar-SA"/>
              </w:rPr>
              <w:t>PoV</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Is the network producing verifiable and sustainable economic value?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b/>
                <w:bCs/>
                <w:color w:val="232B31"/>
                <w:kern w:val="0"/>
                <w:sz w:val="16"/>
                <w:szCs w:val="22"/>
                <w:lang w:val="en-GB" w:eastAsia="en-US" w:bidi="ar-SA"/>
              </w:rPr>
              <w:t>OPI</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Are participants actively using, securing, governing and developing the network?</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b/>
                <w:bCs/>
                <w:color w:val="232B31"/>
                <w:kern w:val="0"/>
                <w:sz w:val="16"/>
                <w:szCs w:val="22"/>
                <w:lang w:val="en-GB" w:eastAsia="en-US" w:bidi="ar-SA"/>
              </w:rPr>
              <w:t>DLI</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Can value be exchanged at meaningful size without excessive concentration or slippage?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b/>
                <w:bCs/>
                <w:color w:val="232B31"/>
                <w:kern w:val="0"/>
                <w:sz w:val="16"/>
                <w:szCs w:val="22"/>
                <w:lang w:val="en-GB" w:eastAsia="en-US" w:bidi="ar-SA"/>
              </w:rPr>
              <w:t>PII</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Is the protocol secure, decentralised, available and operationally reliable?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b/>
                <w:bCs/>
                <w:color w:val="232B31"/>
                <w:kern w:val="0"/>
                <w:sz w:val="16"/>
                <w:szCs w:val="22"/>
                <w:lang w:val="en-GB" w:eastAsia="en-US" w:bidi="ar-SA"/>
              </w:rPr>
              <w:t>RWAI</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Is the network supporting verifiable real-world settlement, assets and use?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b/>
                <w:bCs/>
                <w:color w:val="232B31"/>
                <w:kern w:val="0"/>
                <w:sz w:val="16"/>
                <w:szCs w:val="22"/>
                <w:lang w:val="en-GB" w:eastAsia="en-US" w:bidi="ar-SA"/>
              </w:rPr>
              <w:t>ERI</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Can the network retain function and recover through economic and technical stress?</w:t>
            </w:r>
          </w:p>
        </w:tc>
      </w:tr>
    </w:tbl>
    <w:p>
      <w:pPr>
        <w:pStyle w:val="BodyText"/>
        <w:widowControl/>
        <w:rPr/>
      </w:pPr>
      <w:r>
        <w:rPr/>
        <w:t>Each parent index is scored from 0 to 100. The six parent indices always receive equal weight in Edition 3.1:</w:t>
      </w:r>
    </w:p>
    <w:p>
      <w:pPr>
        <w:pStyle w:val="BodyText"/>
        <w:keepLines/>
        <w:spacing w:before="80" w:after="160"/>
        <w:jc w:val="center"/>
        <w:rPr/>
      </w:pPr>
      <w:r>
        <w:rPr/>
        <w:drawing>
          <wp:inline distT="0" distB="0" distL="0" distR="0">
            <wp:extent cx="3789045" cy="429895"/>
            <wp:effectExtent l="0" t="0" r="0" b="0"/>
            <wp:docPr id="1" name="Picture 4" descr="VTS_{\mathrm{core}}=\frac{PoV+OPI+DLI+PII+RWAI+ERI}{6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VTS_{\mathrm{core}}=\frac{PoV+OPI+DLI+PII+RWAI+ERI}{600}" title="Equation"/>
                    <pic:cNvPicPr>
                      <a:picLocks noChangeAspect="1" noChangeArrowheads="1"/>
                    </pic:cNvPicPr>
                  </pic:nvPicPr>
                  <pic:blipFill>
                    <a:blip r:embed="rId2"/>
                    <a:stretch>
                      <a:fillRect/>
                    </a:stretch>
                  </pic:blipFill>
                  <pic:spPr bwMode="auto">
                    <a:xfrm>
                      <a:off x="0" y="0"/>
                      <a:ext cx="3789045" cy="429895"/>
                    </a:xfrm>
                    <a:prstGeom prst="rect">
                      <a:avLst/>
                    </a:prstGeom>
                    <a:noFill/>
                  </pic:spPr>
                </pic:pic>
              </a:graphicData>
            </a:graphic>
          </wp:inline>
        </w:drawing>
      </w:r>
    </w:p>
    <w:p>
      <w:pPr>
        <w:pStyle w:val="Normal"/>
        <w:rPr/>
      </w:pPr>
      <w:r>
        <w:rPr/>
        <w:t>The result is a raw intrinsic score between 0 and 1. It is then expressed relative to the dynamic Economic Reference Unit:</w:t>
      </w:r>
    </w:p>
    <w:p>
      <w:pPr>
        <w:pStyle w:val="BodyText"/>
        <w:keepLines/>
        <w:spacing w:before="80" w:after="160"/>
        <w:jc w:val="center"/>
        <w:rPr/>
      </w:pPr>
      <w:r>
        <w:rPr/>
        <w:drawing>
          <wp:inline distT="0" distB="0" distL="0" distR="0">
            <wp:extent cx="1508760" cy="554990"/>
            <wp:effectExtent l="0" t="0" r="0" b="0"/>
            <wp:docPr id="2" name="Picture 5" descr="VTS=\frac{VTS_{\mathrm{core}}}{ERU_{\mathrm{core}}}"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VTS=\frac{VTS_{\mathrm{core}}}{ERU_{\mathrm{core}}}" title="Equation"/>
                    <pic:cNvPicPr>
                      <a:picLocks noChangeAspect="1" noChangeArrowheads="1"/>
                    </pic:cNvPicPr>
                  </pic:nvPicPr>
                  <pic:blipFill>
                    <a:blip r:embed="rId3"/>
                    <a:stretch>
                      <a:fillRect/>
                    </a:stretch>
                  </pic:blipFill>
                  <pic:spPr bwMode="auto">
                    <a:xfrm>
                      <a:off x="0" y="0"/>
                      <a:ext cx="1508760" cy="554990"/>
                    </a:xfrm>
                    <a:prstGeom prst="rect">
                      <a:avLst/>
                    </a:prstGeom>
                    <a:noFill/>
                  </pic:spPr>
                </pic:pic>
              </a:graphicData>
            </a:graphic>
          </wp:inline>
        </w:drawing>
      </w:r>
    </w:p>
    <w:p>
      <w:pPr>
        <w:pStyle w:val="Normal"/>
        <w:rPr/>
      </w:pPr>
      <w:r>
        <w:rPr/>
        <w:t xml:space="preserve">The published ERU is displayed as </w:t>
      </w:r>
      <w:r>
        <w:rPr>
          <w:b/>
          <w:bCs/>
        </w:rPr>
        <w:t>1.000000</w:t>
      </w:r>
      <w:r>
        <w:rPr/>
        <w:t>. A VTS of 1.000000 means the network equals the current high-quality reference benchmark. A score below one indicates performance below the benchmark; a score above one indicates performance above it. VTS is not artificially capped at one.</w:t>
      </w:r>
      <w:bookmarkEnd w:id="8"/>
    </w:p>
    <w:p>
      <w:pPr>
        <w:pStyle w:val="Heading2"/>
        <w:keepNext w:val="true"/>
        <w:keepLines/>
        <w:widowControl/>
        <w:rPr/>
      </w:pPr>
      <w:bookmarkStart w:id="9" w:name="__RefHeading___Toc8157_528838595"/>
      <w:bookmarkEnd w:id="9"/>
      <w:r>
        <w:rPr/>
        <w:t>Separate analytical outputs</w:t>
      </w:r>
    </w:p>
    <w:p>
      <w:pPr>
        <w:pStyle w:val="Normal"/>
        <w:rPr/>
      </w:pPr>
      <w:r>
        <w:rPr/>
        <w:t>Voxonomics does not collapse all decisions into a single number.</w:t>
      </w:r>
    </w:p>
    <w:p>
      <w:pPr>
        <w:pStyle w:val="Compact"/>
        <w:widowControl/>
        <w:numPr>
          <w:ilvl w:val="0"/>
          <w:numId w:val="7"/>
        </w:numPr>
        <w:rPr/>
      </w:pPr>
      <w:r>
        <w:rPr>
          <w:b/>
          <w:bCs/>
        </w:rPr>
        <w:t>VRI</w:t>
      </w:r>
      <w:r>
        <w:rPr/>
        <w:t xml:space="preserve"> measures the degree to which market valuation recognises network fundamentals.</w:t>
      </w:r>
    </w:p>
    <w:p>
      <w:pPr>
        <w:pStyle w:val="Compact"/>
        <w:widowControl/>
        <w:numPr>
          <w:ilvl w:val="0"/>
          <w:numId w:val="7"/>
        </w:numPr>
        <w:rPr/>
      </w:pPr>
      <w:r>
        <w:rPr>
          <w:b/>
          <w:bCs/>
        </w:rPr>
        <w:t>Opportunity Gap</w:t>
      </w:r>
      <w:r>
        <w:rPr/>
        <w:t xml:space="preserve"> compares intrinsic measurement with market recognition.</w:t>
      </w:r>
    </w:p>
    <w:p>
      <w:pPr>
        <w:pStyle w:val="Compact"/>
        <w:widowControl/>
        <w:numPr>
          <w:ilvl w:val="0"/>
          <w:numId w:val="7"/>
        </w:numPr>
        <w:rPr/>
      </w:pPr>
      <w:r>
        <w:rPr>
          <w:b/>
          <w:bCs/>
        </w:rPr>
        <w:t>VRS</w:t>
      </w:r>
      <w:r>
        <w:rPr/>
        <w:t xml:space="preserve"> summarises structural and operational risk; higher values mean greater risk.</w:t>
      </w:r>
    </w:p>
    <w:p>
      <w:pPr>
        <w:pStyle w:val="Compact"/>
        <w:widowControl/>
        <w:numPr>
          <w:ilvl w:val="0"/>
          <w:numId w:val="7"/>
        </w:numPr>
        <w:rPr/>
      </w:pPr>
      <w:r>
        <w:rPr>
          <w:b/>
          <w:bCs/>
        </w:rPr>
        <w:t>VCS</w:t>
      </w:r>
      <w:r>
        <w:rPr/>
        <w:t xml:space="preserve"> measures data coverage, source reliability, adapter quality, freshness and model certainty; higher values mean greater confidence.</w:t>
      </w:r>
    </w:p>
    <w:p>
      <w:pPr>
        <w:pStyle w:val="Normal"/>
        <w:rPr/>
      </w:pPr>
      <w:bookmarkStart w:id="10" w:name="separate-analytical-outputs"/>
      <w:r>
        <w:rPr/>
        <w:t>The separation matters. A network can have strong fundamentals but high risk. It can be highly recognised by the market but weakly supported by measurable economic output. It can also appear attractive while having insufficient data quality for a reliable conclusion.</w:t>
      </w:r>
      <w:bookmarkEnd w:id="10"/>
    </w:p>
    <w:p>
      <w:pPr>
        <w:pStyle w:val="Heading2"/>
        <w:keepNext w:val="true"/>
        <w:keepLines/>
        <w:widowControl/>
        <w:rPr/>
      </w:pPr>
      <w:bookmarkStart w:id="11" w:name="__RefHeading___Toc8159_528838595"/>
      <w:bookmarkEnd w:id="11"/>
      <w:r>
        <w:rPr/>
        <w:t>Universal definitions, chain-specific adapters</w:t>
      </w:r>
    </w:p>
    <w:p>
      <w:pPr>
        <w:pStyle w:val="Normal"/>
        <w:rPr/>
      </w:pPr>
      <w:r>
        <w:rPr/>
        <w:t xml:space="preserve">Universal measurement does not require technically identical raw fields. Proof-of-work networks, proof-of-stake networks, rollups, application chains and modular networks secure and settle activity differently. Voxonomics therefore standardises the </w:t>
      </w:r>
      <w:r>
        <w:rPr>
          <w:b/>
          <w:bCs/>
        </w:rPr>
        <w:t>economic meaning</w:t>
      </w:r>
      <w:r>
        <w:rPr/>
        <w:t xml:space="preserve"> of each submetric while allowing audited adapters to map that meaning to each architecture.</w:t>
      </w:r>
    </w:p>
    <w:p>
      <w:pPr>
        <w:pStyle w:val="BodyText"/>
        <w:widowControl/>
        <w:rPr/>
      </w:pPr>
      <w:bookmarkStart w:id="12" w:name="Xf639d2fc82ec1994a8e7cefbcd7e848470fbfc6"/>
      <w:r>
        <w:rPr/>
        <w:t>For example, the universal concept of consensus concentration may be measured using mining-pool block share on a proof-of-work chain, stake-controlled block production on a proof-of-stake chain, or sequencer control and escape mechanisms on a rollup. The definition remains universal; the extraction method is architecture-specific and publicly documented.</w:t>
      </w:r>
      <w:bookmarkEnd w:id="12"/>
    </w:p>
    <w:p>
      <w:pPr>
        <w:pStyle w:val="Heading2"/>
        <w:keepNext w:val="true"/>
        <w:keepLines/>
        <w:widowControl/>
        <w:rPr/>
      </w:pPr>
      <w:bookmarkStart w:id="13" w:name="__RefHeading___Toc8161_528838595"/>
      <w:bookmarkStart w:id="14" w:name="measurement-before-tokenisation"/>
      <w:bookmarkEnd w:id="13"/>
      <w:r>
        <w:rPr/>
        <w:t>Measurement before tokenisation</w:t>
      </w:r>
    </w:p>
    <w:p>
      <w:pPr>
        <w:pStyle w:val="Normal"/>
        <w:rPr/>
      </w:pPr>
      <w:r>
        <w:rPr/>
        <w:t>The measurement system is independently useful. It can support researchers, investors, developers, institutions, communities and policy analysts without issuing a VOX token.</w:t>
      </w:r>
    </w:p>
    <w:p>
      <w:pPr>
        <w:pStyle w:val="BodyText"/>
        <w:widowControl/>
        <w:rPr/>
      </w:pPr>
      <w:r>
        <w:rPr/>
        <w:t xml:space="preserve">VOX units and V-FOREX are optional implementation layers. Their activation requires high confidence, independent audits, an explicit issuance and contraction mechanism, sufficient liquidity, bridge and settlement security, legal review, and governance approval. V-FOREX publishes a transparent VTS-derived </w:t>
      </w:r>
      <w:r>
        <w:rPr>
          <w:b/>
          <w:bCs/>
        </w:rPr>
        <w:t>reference rate</w:t>
      </w:r>
      <w:r>
        <w:rPr/>
        <w:t>, but does not claim that an unconstrained market price must automatically converge to that rate.</w:t>
      </w:r>
      <w:bookmarkEnd w:id="14"/>
    </w:p>
    <w:p>
      <w:pPr>
        <w:pStyle w:val="Heading2"/>
        <w:keepNext w:val="true"/>
        <w:keepLines/>
        <w:widowControl/>
        <w:rPr/>
      </w:pPr>
      <w:bookmarkStart w:id="15" w:name="__RefHeading___Toc8163_528838595"/>
      <w:bookmarkEnd w:id="15"/>
      <w:r>
        <w:rPr/>
        <w:t>Governance</w:t>
      </w:r>
    </w:p>
    <w:p>
      <w:pPr>
        <w:pStyle w:val="Normal"/>
        <w:rPr/>
      </w:pPr>
      <w:r>
        <w:rPr/>
        <w:t xml:space="preserve">One </w:t>
      </w:r>
      <w:r>
        <w:rPr>
          <w:b/>
          <w:bCs/>
        </w:rPr>
        <w:t>VOX DAO</w:t>
      </w:r>
      <w:r>
        <w:rPr/>
        <w:t xml:space="preserve"> governs the measurement standard. The DAO governs definitions, approved submetrics, data standards, adapter certification, benchmark methodology, confidence thresholds, versioning, disputes and future upgrades. Under the Edition 3.1 constitution, the DAO cannot:</w:t>
      </w:r>
    </w:p>
    <w:p>
      <w:pPr>
        <w:pStyle w:val="Compact"/>
        <w:widowControl/>
        <w:numPr>
          <w:ilvl w:val="0"/>
          <w:numId w:val="784"/>
        </w:numPr>
        <w:rPr/>
      </w:pPr>
      <w:r>
        <w:rPr/>
        <w:t>change the equal weighting of the six parent VTS indices;</w:t>
      </w:r>
    </w:p>
    <w:p>
      <w:pPr>
        <w:pStyle w:val="Compact"/>
        <w:widowControl/>
        <w:numPr>
          <w:ilvl w:val="0"/>
          <w:numId w:val="785"/>
        </w:numPr>
        <w:rPr/>
      </w:pPr>
      <w:r>
        <w:rPr/>
        <w:t>create chain-specific favourable rules;</w:t>
      </w:r>
    </w:p>
    <w:p>
      <w:pPr>
        <w:pStyle w:val="Compact"/>
        <w:widowControl/>
        <w:numPr>
          <w:ilvl w:val="0"/>
          <w:numId w:val="786"/>
        </w:numPr>
        <w:rPr/>
      </w:pPr>
      <w:r>
        <w:rPr/>
        <w:t>alter historical scores retroactively;</w:t>
      </w:r>
    </w:p>
    <w:p>
      <w:pPr>
        <w:pStyle w:val="Compact"/>
        <w:widowControl/>
        <w:numPr>
          <w:ilvl w:val="0"/>
          <w:numId w:val="787"/>
        </w:numPr>
        <w:rPr/>
      </w:pPr>
      <w:r>
        <w:rPr/>
        <w:t>conceal source data or calculation logic;</w:t>
      </w:r>
    </w:p>
    <w:p>
      <w:pPr>
        <w:pStyle w:val="Compact"/>
        <w:widowControl/>
        <w:numPr>
          <w:ilvl w:val="0"/>
          <w:numId w:val="788"/>
        </w:numPr>
        <w:rPr/>
      </w:pPr>
      <w:r>
        <w:rPr/>
        <w:t>permit a chain to calculate its own special version of VTS.</w:t>
      </w:r>
    </w:p>
    <w:p>
      <w:pPr>
        <w:pStyle w:val="Normal"/>
        <w:rPr/>
      </w:pPr>
      <w:bookmarkStart w:id="16" w:name="governance"/>
      <w:r>
        <w:rPr/>
        <w:t>Public chains do not require DAO permission to be observed. The DAO certifies whether an adapter and publication meet the standard; it does not grant a network the right to be measured.</w:t>
      </w:r>
      <w:bookmarkEnd w:id="16"/>
    </w:p>
    <w:p>
      <w:pPr>
        <w:pStyle w:val="Heading2"/>
        <w:keepNext w:val="true"/>
        <w:keepLines/>
        <w:widowControl/>
        <w:rPr/>
      </w:pPr>
      <w:bookmarkStart w:id="17" w:name="__RefHeading___Toc8165_528838595"/>
      <w:bookmarkEnd w:id="17"/>
      <w:r>
        <w:rPr/>
        <w:t>Purpose</w:t>
      </w:r>
    </w:p>
    <w:p>
      <w:pPr>
        <w:pStyle w:val="Normal"/>
        <w:rPr/>
      </w:pPr>
      <w:r>
        <w:rPr/>
        <w:t>Voxonomics is not presented as perfect economic truth. It is a transparent, reproducible model that converts public evidence into a common language. Its purpose is to improve comparison, expose assumptions, separate fundamentals from recognition, and create a foundation for decentralised macroeconomic analysis.</w:t>
      </w:r>
    </w:p>
    <w:p>
      <w:pPr>
        <w:pStyle w:val="Normal"/>
        <w:rPr/>
      </w:pPr>
      <w:bookmarkStart w:id="18" w:name="executive-summary"/>
      <w:bookmarkStart w:id="19" w:name="purpose"/>
      <w:r>
        <w:rPr>
          <w:b/>
          <w:bCs/>
        </w:rPr>
        <w:t>Value should reflect verifiable economic reality, and every published score should show the evidence, assumptions and uncertainty behind it.</w:t>
      </w:r>
      <w:bookmarkEnd w:id="18"/>
      <w:bookmarkEnd w:id="19"/>
      <w:r>
        <w:br w:type="page"/>
      </w:r>
    </w:p>
    <w:p>
      <w:pPr>
        <w:pStyle w:val="PartTitle"/>
        <w:spacing w:before="0" w:after="360"/>
        <w:rPr/>
      </w:pPr>
      <w:bookmarkStart w:id="20" w:name="__RefHeading___Toc8167_528838595"/>
      <w:bookmarkStart w:id="21" w:name="part-i-foundations"/>
      <w:bookmarkEnd w:id="20"/>
      <w:r>
        <w:rPr/>
        <w:t>Part I — Foundations</w:t>
      </w:r>
      <w:bookmarkEnd w:id="21"/>
    </w:p>
    <w:p>
      <w:pPr>
        <w:pStyle w:val="Heading1"/>
        <w:keepNext w:val="true"/>
        <w:keepLines/>
        <w:widowControl/>
        <w:pBdr>
          <w:bottom w:val="single" w:sz="6" w:space="5" w:color="8AB2BF"/>
        </w:pBdr>
        <w:jc w:val="start"/>
        <w:rPr/>
      </w:pPr>
      <w:bookmarkStart w:id="22" w:name="__RefHeading___Toc8169_528838595"/>
      <w:bookmarkEnd w:id="22"/>
      <w:r>
        <w:rPr/>
        <w:t>1. Introduction</w:t>
      </w:r>
    </w:p>
    <w:p>
      <w:pPr>
        <w:pStyle w:val="Heading2"/>
        <w:keepNext w:val="true"/>
        <w:keepLines/>
        <w:widowControl/>
        <w:rPr/>
      </w:pPr>
      <w:bookmarkStart w:id="23" w:name="__RefHeading___Toc8171_528838595"/>
      <w:bookmarkEnd w:id="23"/>
      <w:r>
        <w:rPr/>
        <w:t>1.1 The economic layer missing from blockchain</w:t>
      </w:r>
    </w:p>
    <w:p>
      <w:pPr>
        <w:pStyle w:val="Normal"/>
        <w:rPr/>
      </w:pPr>
      <w:r>
        <w:rPr/>
        <w:t>Blockchains solved an important coordination problem: independent participants can agree on a shared transaction history without relying on a single database administrator. Bitcoin demonstrated peer-to-peer digital settlement secured by consensus rules [1]. Ethereum extended that model into a programmable state machine capable of executing general-purpose contracts [2]. Subsequent networks introduced different approaches to throughput, execution, interoperability, data availability and application-specific design.</w:t>
      </w:r>
    </w:p>
    <w:p>
      <w:pPr>
        <w:pStyle w:val="BodyText"/>
        <w:widowControl/>
        <w:rPr/>
      </w:pPr>
      <w:r>
        <w:rPr/>
        <w:t>The technology matured faster than its economic measurement. Public dashboards now expose price, supply, market capitalisation, total value locked, fees, revenue, user activity and liquidity. These metrics are valuable, but they do not form a coherent standard. Definitions vary by provider, chains are measured with incompatible assumptions, and short-term market values are frequently mistaken for long-term economic strength.</w:t>
      </w:r>
    </w:p>
    <w:p>
      <w:pPr>
        <w:pStyle w:val="BodyText"/>
        <w:widowControl/>
        <w:rPr/>
      </w:pPr>
      <w:r>
        <w:rPr/>
        <w:t>A mature economic system needs more than a price. National economies are assessed through multiple indicators, including output, participation, financial depth, institutional quality, adoption, stability and resilience. Blockchains require an equivalent framework designed for their own architecture rather than a direct copy of nation-state statistics.</w:t>
      </w:r>
    </w:p>
    <w:p>
      <w:pPr>
        <w:pStyle w:val="BodyText"/>
        <w:widowControl/>
        <w:rPr/>
      </w:pPr>
      <w:bookmarkStart w:id="24" w:name="X767768ebdbcdae03a0e0a7d8c49a3c010fb4241"/>
      <w:r>
        <w:rPr/>
        <w:t>Voxonomics supplies that missing layer. It measures networks as economic systems using a transparent standard that can be reproduced from public data.</w:t>
      </w:r>
      <w:bookmarkEnd w:id="24"/>
    </w:p>
    <w:p>
      <w:pPr>
        <w:pStyle w:val="Heading2"/>
        <w:keepNext w:val="true"/>
        <w:keepLines/>
        <w:widowControl/>
        <w:rPr/>
      </w:pPr>
      <w:bookmarkStart w:id="25" w:name="__RefHeading___Toc8173_528838595"/>
      <w:bookmarkEnd w:id="25"/>
      <w:r>
        <w:rPr/>
        <w:t>1.2 Emotional money and narrative markets</w:t>
      </w:r>
    </w:p>
    <w:p>
      <w:pPr>
        <w:pStyle w:val="Normal"/>
        <w:rPr/>
      </w:pPr>
      <w:r>
        <w:rPr/>
        <w:t>All markets contain expectations. Price represents an agreement between buyers and sellers at a moment in time, and that agreement incorporates liquidity, leverage, risk tolerance, narratives, regulation and macroeconomic conditions. Crypto markets amplify these forces because assets trade continuously, leverage is widely available, liquidity is fragmented and technological change is rapid.</w:t>
      </w:r>
    </w:p>
    <w:p>
      <w:pPr>
        <w:pStyle w:val="BodyText"/>
        <w:widowControl/>
        <w:rPr/>
      </w:pPr>
      <w:r>
        <w:rPr/>
        <w:t>The problem is not that market price is useless. The problem is that market price is frequently treated as a complete economic verdict. A strong narrative can increase valuation before measurable adoption exists. A liquidity contraction can depress valuation even when network activity remains healthy. Incentive programmes can temporarily inflate users, volume or total value locked. Token issuance can create nominal growth without real value capture.</w:t>
      </w:r>
    </w:p>
    <w:p>
      <w:pPr>
        <w:pStyle w:val="BodyText"/>
        <w:widowControl/>
        <w:rPr/>
      </w:pPr>
      <w:bookmarkStart w:id="26" w:name="emotional-money-and-narrative-markets"/>
      <w:r>
        <w:rPr/>
        <w:t>Voxonomics does not attempt to eliminate markets or emotion. It creates an independent measurement layer so that market recognition can be compared with observable fundamentals rather than substituted for them.</w:t>
      </w:r>
      <w:bookmarkEnd w:id="26"/>
    </w:p>
    <w:p>
      <w:pPr>
        <w:pStyle w:val="Heading2"/>
        <w:keepNext w:val="true"/>
        <w:keepLines/>
        <w:widowControl/>
        <w:rPr/>
      </w:pPr>
      <w:bookmarkStart w:id="27" w:name="__RefHeading___Toc8175_528838595"/>
      <w:bookmarkEnd w:id="27"/>
      <w:r>
        <w:rPr/>
        <w:t>1.3 Networks as digital economies</w:t>
      </w:r>
    </w:p>
    <w:p>
      <w:pPr>
        <w:pStyle w:val="Normal"/>
        <w:rPr/>
      </w:pPr>
      <w:r>
        <w:rPr/>
        <w:t>A public blockchain can be analysed as a digital economy because it contains identifiable economic functions:</w:t>
      </w:r>
    </w:p>
    <w:p>
      <w:pPr>
        <w:pStyle w:val="Compact"/>
        <w:widowControl/>
        <w:numPr>
          <w:ilvl w:val="0"/>
          <w:numId w:val="789"/>
        </w:numPr>
        <w:rPr/>
      </w:pPr>
      <w:r>
        <w:rPr>
          <w:b/>
          <w:bCs/>
        </w:rPr>
        <w:t>participants</w:t>
      </w:r>
      <w:r>
        <w:rPr/>
        <w:t xml:space="preserve"> who transact, hold assets, govern, validate and develop;</w:t>
      </w:r>
    </w:p>
    <w:p>
      <w:pPr>
        <w:pStyle w:val="Compact"/>
        <w:widowControl/>
        <w:numPr>
          <w:ilvl w:val="0"/>
          <w:numId w:val="790"/>
        </w:numPr>
        <w:rPr/>
      </w:pPr>
      <w:r>
        <w:rPr>
          <w:b/>
          <w:bCs/>
        </w:rPr>
        <w:t>productive infrastructure</w:t>
      </w:r>
      <w:r>
        <w:rPr/>
        <w:t xml:space="preserve"> including consensus, execution, data availability and applications;</w:t>
      </w:r>
    </w:p>
    <w:p>
      <w:pPr>
        <w:pStyle w:val="Compact"/>
        <w:widowControl/>
        <w:numPr>
          <w:ilvl w:val="0"/>
          <w:numId w:val="791"/>
        </w:numPr>
        <w:rPr/>
      </w:pPr>
      <w:r>
        <w:rPr>
          <w:b/>
          <w:bCs/>
        </w:rPr>
        <w:t>economic output</w:t>
      </w:r>
      <w:r>
        <w:rPr/>
        <w:t xml:space="preserve"> expressed through settlement, fees, revenue and services;</w:t>
      </w:r>
    </w:p>
    <w:p>
      <w:pPr>
        <w:pStyle w:val="Compact"/>
        <w:widowControl/>
        <w:numPr>
          <w:ilvl w:val="0"/>
          <w:numId w:val="792"/>
        </w:numPr>
        <w:rPr/>
      </w:pPr>
      <w:r>
        <w:rPr>
          <w:b/>
          <w:bCs/>
        </w:rPr>
        <w:t>capital markets</w:t>
      </w:r>
      <w:r>
        <w:rPr/>
        <w:t xml:space="preserve"> expressed through exchanges, lending, derivatives and liquidity pools;</w:t>
      </w:r>
    </w:p>
    <w:p>
      <w:pPr>
        <w:pStyle w:val="Compact"/>
        <w:widowControl/>
        <w:numPr>
          <w:ilvl w:val="0"/>
          <w:numId w:val="793"/>
        </w:numPr>
        <w:rPr/>
      </w:pPr>
      <w:r>
        <w:rPr>
          <w:b/>
          <w:bCs/>
        </w:rPr>
        <w:t>institutional rules</w:t>
      </w:r>
      <w:r>
        <w:rPr/>
        <w:t xml:space="preserve"> encoded in protocol logic, governance and social coordination;</w:t>
      </w:r>
    </w:p>
    <w:p>
      <w:pPr>
        <w:pStyle w:val="Compact"/>
        <w:widowControl/>
        <w:numPr>
          <w:ilvl w:val="0"/>
          <w:numId w:val="794"/>
        </w:numPr>
        <w:rPr/>
      </w:pPr>
      <w:r>
        <w:rPr>
          <w:b/>
          <w:bCs/>
        </w:rPr>
        <w:t>external trade</w:t>
      </w:r>
      <w:r>
        <w:rPr/>
        <w:t xml:space="preserve"> through bridges, messaging systems, stablecoins and cross-chain flows;</w:t>
      </w:r>
    </w:p>
    <w:p>
      <w:pPr>
        <w:pStyle w:val="Compact"/>
        <w:widowControl/>
        <w:numPr>
          <w:ilvl w:val="0"/>
          <w:numId w:val="795"/>
        </w:numPr>
        <w:rPr/>
      </w:pPr>
      <w:r>
        <w:rPr>
          <w:b/>
          <w:bCs/>
        </w:rPr>
        <w:t>public goods</w:t>
      </w:r>
      <w:r>
        <w:rPr/>
        <w:t xml:space="preserve"> including security, open data, composability and shared infrastructure.</w:t>
      </w:r>
    </w:p>
    <w:p>
      <w:pPr>
        <w:pStyle w:val="Normal"/>
        <w:rPr/>
      </w:pPr>
      <w:bookmarkStart w:id="28" w:name="networks-as-digital-economies"/>
      <w:r>
        <w:rPr/>
        <w:t>The analogy to a nation is useful but limited. A blockchain has no necessary territory, population citizenship or sovereign legal authority. Its participants may use multiple networks simultaneously. Nevertheless, the network performs enough economic functions to justify a dedicated measurement framework.</w:t>
      </w:r>
      <w:bookmarkEnd w:id="28"/>
    </w:p>
    <w:p>
      <w:pPr>
        <w:pStyle w:val="Heading2"/>
        <w:keepNext w:val="true"/>
        <w:keepLines/>
        <w:widowControl/>
        <w:rPr/>
      </w:pPr>
      <w:bookmarkStart w:id="29" w:name="__RefHeading___Toc8177_528838595"/>
      <w:bookmarkEnd w:id="29"/>
      <w:r>
        <w:rPr/>
        <w:t>1.4 Scope of the framework</w:t>
      </w:r>
    </w:p>
    <w:p>
      <w:pPr>
        <w:pStyle w:val="Normal"/>
        <w:rPr/>
      </w:pPr>
      <w:r>
        <w:rPr/>
        <w:t>Voxonomics measures public, observable blockchain networks and major execution environments. It is designed to cover:</w:t>
      </w:r>
    </w:p>
    <w:p>
      <w:pPr>
        <w:pStyle w:val="Compact"/>
        <w:widowControl/>
        <w:numPr>
          <w:ilvl w:val="0"/>
          <w:numId w:val="796"/>
        </w:numPr>
        <w:rPr/>
      </w:pPr>
      <w:r>
        <w:rPr/>
        <w:t>proof-of-work and proof-of-stake base layers;</w:t>
      </w:r>
    </w:p>
    <w:p>
      <w:pPr>
        <w:pStyle w:val="Compact"/>
        <w:widowControl/>
        <w:numPr>
          <w:ilvl w:val="0"/>
          <w:numId w:val="797"/>
        </w:numPr>
        <w:rPr/>
      </w:pPr>
      <w:r>
        <w:rPr/>
        <w:t>smart-contract platforms;</w:t>
      </w:r>
    </w:p>
    <w:p>
      <w:pPr>
        <w:pStyle w:val="Compact"/>
        <w:widowControl/>
        <w:numPr>
          <w:ilvl w:val="0"/>
          <w:numId w:val="798"/>
        </w:numPr>
        <w:rPr/>
      </w:pPr>
      <w:r>
        <w:rPr/>
        <w:t>rollups and other layer-two systems;</w:t>
      </w:r>
    </w:p>
    <w:p>
      <w:pPr>
        <w:pStyle w:val="Compact"/>
        <w:widowControl/>
        <w:numPr>
          <w:ilvl w:val="0"/>
          <w:numId w:val="799"/>
        </w:numPr>
        <w:rPr/>
      </w:pPr>
      <w:r>
        <w:rPr/>
        <w:t>application-specific chains;</w:t>
      </w:r>
    </w:p>
    <w:p>
      <w:pPr>
        <w:pStyle w:val="Compact"/>
        <w:widowControl/>
        <w:numPr>
          <w:ilvl w:val="0"/>
          <w:numId w:val="800"/>
        </w:numPr>
        <w:rPr/>
      </w:pPr>
      <w:r>
        <w:rPr/>
        <w:t>modular execution, settlement and data-availability networks;</w:t>
      </w:r>
    </w:p>
    <w:p>
      <w:pPr>
        <w:pStyle w:val="Compact"/>
        <w:widowControl/>
        <w:numPr>
          <w:ilvl w:val="0"/>
          <w:numId w:val="801"/>
        </w:numPr>
        <w:rPr/>
      </w:pPr>
      <w:r>
        <w:rPr/>
        <w:t>interoperable zones and subnetworks;</w:t>
      </w:r>
    </w:p>
    <w:p>
      <w:pPr>
        <w:pStyle w:val="Compact"/>
        <w:widowControl/>
        <w:numPr>
          <w:ilvl w:val="0"/>
          <w:numId w:val="802"/>
        </w:numPr>
        <w:rPr/>
      </w:pPr>
      <w:r>
        <w:rPr/>
        <w:t>future architectures that expose sufficient public evidence.</w:t>
      </w:r>
    </w:p>
    <w:p>
      <w:pPr>
        <w:pStyle w:val="Normal"/>
        <w:rPr/>
      </w:pPr>
      <w:bookmarkStart w:id="30" w:name="scope-of-the-framework"/>
      <w:r>
        <w:rPr/>
        <w:t>The framework does not assume that every chain performs every function. A payments network, a settlement network and an application chain may have different economic profiles. The framework therefore measures capability and observed performance without requiring identical business models.</w:t>
      </w:r>
      <w:bookmarkEnd w:id="30"/>
    </w:p>
    <w:p>
      <w:pPr>
        <w:pStyle w:val="Heading2"/>
        <w:keepNext w:val="true"/>
        <w:keepLines/>
        <w:widowControl/>
        <w:rPr/>
      </w:pPr>
      <w:bookmarkStart w:id="31" w:name="__RefHeading___Toc8179_528838595"/>
      <w:bookmarkEnd w:id="31"/>
      <w:r>
        <w:rPr/>
        <w:t>1.5 What Voxonomics is not</w:t>
      </w:r>
    </w:p>
    <w:p>
      <w:pPr>
        <w:pStyle w:val="Normal"/>
        <w:rPr/>
      </w:pPr>
      <w:r>
        <w:rPr/>
        <w:t>Voxonomics is not:</w:t>
      </w:r>
    </w:p>
    <w:p>
      <w:pPr>
        <w:pStyle w:val="Compact"/>
        <w:widowControl/>
        <w:numPr>
          <w:ilvl w:val="0"/>
          <w:numId w:val="803"/>
        </w:numPr>
        <w:rPr/>
      </w:pPr>
      <w:r>
        <w:rPr/>
        <w:t>a guaranteed valuation model;</w:t>
      </w:r>
    </w:p>
    <w:p>
      <w:pPr>
        <w:pStyle w:val="Compact"/>
        <w:widowControl/>
        <w:numPr>
          <w:ilvl w:val="0"/>
          <w:numId w:val="804"/>
        </w:numPr>
        <w:rPr/>
      </w:pPr>
      <w:r>
        <w:rPr/>
        <w:t>a trading signal in isolation;</w:t>
      </w:r>
    </w:p>
    <w:p>
      <w:pPr>
        <w:pStyle w:val="Compact"/>
        <w:widowControl/>
        <w:numPr>
          <w:ilvl w:val="0"/>
          <w:numId w:val="805"/>
        </w:numPr>
        <w:rPr/>
      </w:pPr>
      <w:r>
        <w:rPr/>
        <w:t>a credit rating issued by a central agency;</w:t>
      </w:r>
    </w:p>
    <w:p>
      <w:pPr>
        <w:pStyle w:val="Compact"/>
        <w:widowControl/>
        <w:numPr>
          <w:ilvl w:val="0"/>
          <w:numId w:val="806"/>
        </w:numPr>
        <w:rPr/>
      </w:pPr>
      <w:r>
        <w:rPr/>
        <w:t>a claim that on-chain data is automatically complete or unbiased;</w:t>
      </w:r>
    </w:p>
    <w:p>
      <w:pPr>
        <w:pStyle w:val="Compact"/>
        <w:widowControl/>
        <w:numPr>
          <w:ilvl w:val="0"/>
          <w:numId w:val="807"/>
        </w:numPr>
        <w:rPr/>
      </w:pPr>
      <w:r>
        <w:rPr/>
        <w:t>a stablecoin design;</w:t>
      </w:r>
    </w:p>
    <w:p>
      <w:pPr>
        <w:pStyle w:val="Compact"/>
        <w:widowControl/>
        <w:numPr>
          <w:ilvl w:val="0"/>
          <w:numId w:val="808"/>
        </w:numPr>
        <w:rPr/>
      </w:pPr>
      <w:r>
        <w:rPr/>
        <w:t>a requirement that networks alter their consensus rules;</w:t>
      </w:r>
    </w:p>
    <w:p>
      <w:pPr>
        <w:pStyle w:val="Compact"/>
        <w:widowControl/>
        <w:numPr>
          <w:ilvl w:val="0"/>
          <w:numId w:val="809"/>
        </w:numPr>
        <w:rPr/>
      </w:pPr>
      <w:r>
        <w:rPr/>
        <w:t>a permissioned membership club;</w:t>
      </w:r>
    </w:p>
    <w:p>
      <w:pPr>
        <w:pStyle w:val="Compact"/>
        <w:widowControl/>
        <w:numPr>
          <w:ilvl w:val="0"/>
          <w:numId w:val="810"/>
        </w:numPr>
        <w:rPr/>
      </w:pPr>
      <w:r>
        <w:rPr/>
        <w:t>a replacement for technical security audits, legal analysis or investment due diligence.</w:t>
      </w:r>
    </w:p>
    <w:p>
      <w:pPr>
        <w:pStyle w:val="Normal"/>
        <w:rPr/>
      </w:pPr>
      <w:bookmarkStart w:id="32" w:name="introduction"/>
      <w:bookmarkStart w:id="33" w:name="what-voxonomics-is-not"/>
      <w:r>
        <w:rPr/>
        <w:t>It is a governed measurement standard. Its reliability depends on clear definitions, high-quality data, robust adapters, transparent normalisation and honest confidence reporting.</w:t>
      </w:r>
      <w:bookmarkEnd w:id="32"/>
      <w:bookmarkEnd w:id="33"/>
    </w:p>
    <w:p>
      <w:pPr>
        <w:pStyle w:val="Heading1"/>
        <w:keepNext w:val="true"/>
        <w:keepLines/>
        <w:widowControl/>
        <w:pBdr>
          <w:bottom w:val="single" w:sz="6" w:space="5" w:color="8AB2BF"/>
        </w:pBdr>
        <w:jc w:val="start"/>
        <w:rPr/>
      </w:pPr>
      <w:bookmarkStart w:id="34" w:name="__RefHeading___Toc8181_528838595"/>
      <w:bookmarkEnd w:id="34"/>
      <w:r>
        <w:rPr/>
        <w:t>2. The Digital Value Problem</w:t>
      </w:r>
    </w:p>
    <w:p>
      <w:pPr>
        <w:pStyle w:val="Heading2"/>
        <w:keepNext w:val="true"/>
        <w:keepLines/>
        <w:widowControl/>
        <w:rPr/>
      </w:pPr>
      <w:bookmarkStart w:id="35" w:name="__RefHeading___Toc8183_528838595"/>
      <w:bookmarkEnd w:id="35"/>
      <w:r>
        <w:rPr/>
        <w:t>2.1 Market capitalisation is recognition, not intrinsic measurement</w:t>
      </w:r>
    </w:p>
    <w:p>
      <w:pPr>
        <w:pStyle w:val="Normal"/>
        <w:rPr/>
      </w:pPr>
      <w:r>
        <w:rPr/>
        <w:t>Market capitalisation is the product of circulating token supply and market price. It shows the market value of the liquid asset under a particular supply definition. It does not by itself measure network revenue, user participation, decentralisation, settlement quality, resilience or value capture.</w:t>
      </w:r>
    </w:p>
    <w:p>
      <w:pPr>
        <w:pStyle w:val="BodyText"/>
        <w:widowControl/>
        <w:rPr/>
      </w:pPr>
      <w:r>
        <w:rPr/>
        <w:t>Circulating supply can also be difficult to define. Locked allocations, foundations, treasuries, bridges, staking contracts and protocol-owned balances may be treated differently across providers. Thin liquidity can produce a large nominal valuation from a relatively small amount of traded capital. Fully diluted valuation can reveal future dilution but does not measure whether the future supply will create or dilute economic value.</w:t>
      </w:r>
    </w:p>
    <w:p>
      <w:pPr>
        <w:pStyle w:val="BodyText"/>
        <w:widowControl/>
        <w:rPr/>
      </w:pPr>
      <w:bookmarkStart w:id="36" w:name="X38063648f615fcc27eedee964fdff4ebbf3025a"/>
      <w:r>
        <w:rPr/>
        <w:t>Voxonomics therefore treats market value as an input to VRI rather than VTS.</w:t>
      </w:r>
      <w:bookmarkEnd w:id="36"/>
    </w:p>
    <w:p>
      <w:pPr>
        <w:pStyle w:val="Heading2"/>
        <w:keepNext w:val="true"/>
        <w:keepLines/>
        <w:widowControl/>
        <w:rPr/>
      </w:pPr>
      <w:bookmarkStart w:id="37" w:name="__RefHeading___Toc8185_528838595"/>
      <w:bookmarkEnd w:id="37"/>
      <w:r>
        <w:rPr/>
        <w:t>2.2 Single metrics produce false certainty</w:t>
      </w:r>
    </w:p>
    <w:p>
      <w:pPr>
        <w:pStyle w:val="Normal"/>
        <w:rPr/>
      </w:pPr>
      <w:r>
        <w:rPr/>
        <w:t>Every common blockchain metric has strengths and limitations:</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Metric</w:t>
            </w:r>
          </w:p>
        </w:tc>
        <w:tc>
          <w:tcPr>
            <w:tcW w:w="321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What it reveals</w:t>
            </w:r>
          </w:p>
        </w:tc>
        <w:tc>
          <w:tcPr>
            <w:tcW w:w="321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What it can miss</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Transaction count</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Frequency of recorded actions</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Spam, batching, low-value transfers, architecture differences</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Active addresses</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Observable account activity</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Sybil activity, account abstraction, shared addresses, bots</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Fees</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Demand for blockspace or services</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Subsidies, fee design, congestion, extraction outside the token</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Revenue</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Protocol value retained</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Cyclicality, token incentives, accounting differences</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TVL</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Capital committed to applications</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Double counting, borrowed assets, price effects, bridge risk</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DEX volume</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Trading activity</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Wash trading, incentive farming, concentration and slippage</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Validator count</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Number of validator identities</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Stake concentration, common ownership, hosting concentration</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Token price</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Market recognition</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Fundamentals, liquidity depth, dilution and reflexivity</w:t>
            </w:r>
          </w:p>
        </w:tc>
      </w:tr>
    </w:tbl>
    <w:p>
      <w:pPr>
        <w:pStyle w:val="BodyText"/>
        <w:widowControl/>
        <w:rPr/>
      </w:pPr>
      <w:bookmarkStart w:id="38" w:name="single-metrics-produce-false-certainty"/>
      <w:r>
        <w:rPr/>
        <w:t>A credible model must combine multiple dimensions and publish the evidence behind each one.</w:t>
      </w:r>
      <w:bookmarkEnd w:id="38"/>
    </w:p>
    <w:p>
      <w:pPr>
        <w:pStyle w:val="Heading2"/>
        <w:keepNext w:val="true"/>
        <w:keepLines/>
        <w:widowControl/>
        <w:rPr/>
      </w:pPr>
      <w:bookmarkStart w:id="39" w:name="__RefHeading___Toc8187_528838595"/>
      <w:bookmarkEnd w:id="39"/>
      <w:r>
        <w:rPr/>
        <w:t>2.3 Value creation, value capture and value recognition</w:t>
      </w:r>
    </w:p>
    <w:p>
      <w:pPr>
        <w:pStyle w:val="Normal"/>
        <w:rPr/>
      </w:pPr>
      <w:r>
        <w:rPr/>
        <w:t>Voxonomics distinguishes three economic concepts:</w:t>
      </w:r>
    </w:p>
    <w:p>
      <w:pPr>
        <w:pStyle w:val="Compact"/>
        <w:widowControl/>
        <w:numPr>
          <w:ilvl w:val="0"/>
          <w:numId w:val="811"/>
        </w:numPr>
        <w:rPr/>
      </w:pPr>
      <w:r>
        <w:rPr>
          <w:b/>
          <w:bCs/>
        </w:rPr>
        <w:t>Value creation</w:t>
      </w:r>
      <w:r>
        <w:rPr/>
        <w:t xml:space="preserve"> — the network enables useful settlement, computation, liquidity, coordination or real-world activity.</w:t>
      </w:r>
    </w:p>
    <w:p>
      <w:pPr>
        <w:pStyle w:val="Compact"/>
        <w:widowControl/>
        <w:numPr>
          <w:ilvl w:val="0"/>
          <w:numId w:val="812"/>
        </w:numPr>
        <w:rPr/>
      </w:pPr>
      <w:r>
        <w:rPr>
          <w:b/>
          <w:bCs/>
        </w:rPr>
        <w:t>Value capture</w:t>
      </w:r>
      <w:r>
        <w:rPr/>
        <w:t xml:space="preserve"> — fees, burns, treasury income, staking economics or other mechanisms retain part of that activity for the protocol or its economic security.</w:t>
      </w:r>
    </w:p>
    <w:p>
      <w:pPr>
        <w:pStyle w:val="Compact"/>
        <w:widowControl/>
        <w:numPr>
          <w:ilvl w:val="0"/>
          <w:numId w:val="813"/>
        </w:numPr>
        <w:rPr/>
      </w:pPr>
      <w:r>
        <w:rPr>
          <w:b/>
          <w:bCs/>
        </w:rPr>
        <w:t>Value recognition</w:t>
      </w:r>
      <w:r>
        <w:rPr/>
        <w:t xml:space="preserve"> — markets assign a valuation to the network asset.</w:t>
      </w:r>
    </w:p>
    <w:p>
      <w:pPr>
        <w:pStyle w:val="Normal"/>
        <w:rPr/>
      </w:pPr>
      <w:bookmarkStart w:id="40" w:name="X1aa331bfff911a448d7ef7b1e74814db24c7986"/>
      <w:r>
        <w:rPr/>
        <w:t>These concepts are related but not identical. A network may create substantial user value while capturing little revenue. A protocol may capture revenue while remaining centralised or fragile. A token may receive high recognition because of expected future growth. Voxonomics prevents these distinctions from disappearing inside one headline metric.</w:t>
      </w:r>
      <w:bookmarkEnd w:id="40"/>
    </w:p>
    <w:p>
      <w:pPr>
        <w:pStyle w:val="Heading2"/>
        <w:keepNext w:val="true"/>
        <w:keepLines/>
        <w:widowControl/>
        <w:rPr/>
      </w:pPr>
      <w:bookmarkStart w:id="41" w:name="__RefHeading___Toc8189_528838595"/>
      <w:bookmarkEnd w:id="41"/>
      <w:r>
        <w:rPr/>
        <w:t>2.4 The comparability challenge</w:t>
      </w:r>
    </w:p>
    <w:p>
      <w:pPr>
        <w:pStyle w:val="Normal"/>
        <w:rPr/>
      </w:pPr>
      <w:r>
        <w:rPr/>
        <w:t>Raw comparisons favour scale and architecture. A high-throughput network may record many inexpensive transactions, while a settlement-oriented network may process fewer but larger and more economically final transfers. A rollup may inherit security from a base layer but retain separate sequencer and bridge risks. A proof-of-work chain does not expose a staked-supply ratio. A privacy-preserving system may deliberately reveal less user-level information.</w:t>
      </w:r>
    </w:p>
    <w:p>
      <w:pPr>
        <w:pStyle w:val="BodyText"/>
        <w:widowControl/>
        <w:rPr/>
      </w:pPr>
      <w:bookmarkStart w:id="42" w:name="the-comparability-challenge"/>
      <w:r>
        <w:rPr/>
        <w:t>The solution is not to force the same raw field onto every system. It is to define the universal economic property first, then specify how each architecture provides evidence for that property.</w:t>
      </w:r>
      <w:bookmarkEnd w:id="42"/>
    </w:p>
    <w:p>
      <w:pPr>
        <w:pStyle w:val="Heading2"/>
        <w:keepNext w:val="true"/>
        <w:keepLines/>
        <w:widowControl/>
        <w:rPr/>
      </w:pPr>
      <w:bookmarkStart w:id="43" w:name="__RefHeading___Toc8191_528838595"/>
      <w:bookmarkEnd w:id="43"/>
      <w:r>
        <w:rPr/>
        <w:t>2.5 The confidence problem</w:t>
      </w:r>
    </w:p>
    <w:p>
      <w:pPr>
        <w:pStyle w:val="Normal"/>
        <w:rPr/>
      </w:pPr>
      <w:r>
        <w:rPr/>
        <w:t>Many rankings publish a score without publishing whether the underlying evidence is complete. This creates false precision. A network with incomplete governance data should not receive the same apparent certainty as a network with verified historical records, multiple independent sources and a tested adapter.</w:t>
      </w:r>
    </w:p>
    <w:p>
      <w:pPr>
        <w:pStyle w:val="BodyText"/>
        <w:widowControl/>
        <w:rPr/>
      </w:pPr>
      <w:bookmarkStart w:id="44" w:name="the-digital-value-problem"/>
      <w:bookmarkStart w:id="45" w:name="the-confidence-problem"/>
      <w:r>
        <w:rPr/>
        <w:t>Voxonomics solves this through VCS. Every headline result must be accompanied by a confidence score and publication status. Missing evidence affects confidence and, where the missing function is economically material, the relevant index. It is never silently replaced with an arbitrary neutral value.</w:t>
      </w:r>
      <w:bookmarkEnd w:id="44"/>
      <w:bookmarkEnd w:id="45"/>
    </w:p>
    <w:p>
      <w:pPr>
        <w:pStyle w:val="Heading1"/>
        <w:keepNext w:val="true"/>
        <w:keepLines/>
        <w:widowControl/>
        <w:pBdr>
          <w:bottom w:val="single" w:sz="6" w:space="5" w:color="8AB2BF"/>
        </w:pBdr>
        <w:jc w:val="start"/>
        <w:rPr/>
      </w:pPr>
      <w:bookmarkStart w:id="46" w:name="__RefHeading___Toc8193_528838595"/>
      <w:bookmarkEnd w:id="46"/>
      <w:r>
        <w:rPr/>
        <w:t>3. Networks as Measurable Economies</w:t>
      </w:r>
    </w:p>
    <w:p>
      <w:pPr>
        <w:pStyle w:val="Heading2"/>
        <w:keepNext w:val="true"/>
        <w:keepLines/>
        <w:widowControl/>
        <w:rPr/>
      </w:pPr>
      <w:bookmarkStart w:id="47" w:name="__RefHeading___Toc8195_528838595"/>
      <w:bookmarkEnd w:id="47"/>
      <w:r>
        <w:rPr/>
        <w:t>3.1 Economic output</w:t>
      </w:r>
    </w:p>
    <w:p>
      <w:pPr>
        <w:pStyle w:val="Normal"/>
        <w:rPr/>
      </w:pPr>
      <w:r>
        <w:rPr/>
        <w:t>A blockchain economy produces output when it enables settlement, execution, data services, financial intermediation, asset issuance or other verifiable functions. Output cannot be represented by transaction count alone. Voxonomics therefore combines transfer value, fees, revenue, service use, value capture and persistence.</w:t>
      </w:r>
    </w:p>
    <w:p>
      <w:pPr>
        <w:pStyle w:val="BodyText"/>
        <w:widowControl/>
        <w:rPr/>
      </w:pPr>
      <w:bookmarkStart w:id="48" w:name="economic-output"/>
      <w:r>
        <w:rPr/>
        <w:t>Economic output is strongest when activity is repeated, broad-based, difficult to fabricate and connected to a sustainable security budget. Temporary incentive farming may still be observed, but its quality is discounted through retention, concentration, subsidy and resilience metrics.</w:t>
      </w:r>
      <w:bookmarkEnd w:id="48"/>
    </w:p>
    <w:p>
      <w:pPr>
        <w:pStyle w:val="Heading2"/>
        <w:keepNext w:val="true"/>
        <w:keepLines/>
        <w:widowControl/>
        <w:rPr/>
      </w:pPr>
      <w:bookmarkStart w:id="49" w:name="__RefHeading___Toc8197_528838595"/>
      <w:bookmarkEnd w:id="49"/>
      <w:r>
        <w:rPr/>
        <w:t>3.2 Participation and productive capacity</w:t>
      </w:r>
    </w:p>
    <w:p>
      <w:pPr>
        <w:pStyle w:val="Normal"/>
        <w:rPr/>
      </w:pPr>
      <w:r>
        <w:rPr/>
        <w:t>Networks require more than passive holders. Users generate demand, validators or miners secure state, developers maintain software, delegates and voters govern shared resources, and liquidity providers support exchange. Participation is economically meaningful when it is active, distributed and persistent.</w:t>
      </w:r>
    </w:p>
    <w:p>
      <w:pPr>
        <w:pStyle w:val="BodyText"/>
        <w:widowControl/>
        <w:rPr/>
      </w:pPr>
      <w:bookmarkStart w:id="50" w:name="participation-and-productive-capacity"/>
      <w:r>
        <w:rPr/>
        <w:t>OPI measures this productive social layer without assuming that one governance or consensus model is universally superior.</w:t>
      </w:r>
      <w:bookmarkEnd w:id="50"/>
    </w:p>
    <w:p>
      <w:pPr>
        <w:pStyle w:val="Heading2"/>
        <w:keepNext w:val="true"/>
        <w:keepLines/>
        <w:widowControl/>
        <w:rPr/>
      </w:pPr>
      <w:bookmarkStart w:id="51" w:name="__RefHeading___Toc8199_528838595"/>
      <w:bookmarkEnd w:id="51"/>
      <w:r>
        <w:rPr/>
        <w:t>3.3 Financial depth</w:t>
      </w:r>
    </w:p>
    <w:p>
      <w:pPr>
        <w:pStyle w:val="Normal"/>
        <w:rPr/>
      </w:pPr>
      <w:bookmarkStart w:id="52" w:name="financial-depth"/>
      <w:r>
        <w:rPr/>
        <w:t>Liquidity converts nominal value into usable value. A token or application may report high valuation, but if meaningful trades cause severe price impact, capital cannot enter or leave efficiently. DLI therefore measures depth, slippage, concentration, volume quality, venue diversity and stress performance rather than relying on total value locked alone.</w:t>
      </w:r>
      <w:bookmarkEnd w:id="52"/>
    </w:p>
    <w:p>
      <w:pPr>
        <w:pStyle w:val="Heading2"/>
        <w:keepNext w:val="true"/>
        <w:keepLines/>
        <w:widowControl/>
        <w:rPr/>
      </w:pPr>
      <w:bookmarkStart w:id="53" w:name="__RefHeading___Toc8201_528838595"/>
      <w:bookmarkEnd w:id="53"/>
      <w:r>
        <w:rPr/>
        <w:t>3.4 Institutional integrity</w:t>
      </w:r>
    </w:p>
    <w:p>
      <w:pPr>
        <w:pStyle w:val="Normal"/>
        <w:rPr/>
      </w:pPr>
      <w:bookmarkStart w:id="54" w:name="institutional-integrity"/>
      <w:r>
        <w:rPr/>
        <w:t>A network cannot function as an economy if its settlement fails, critical software is repeatedly exploited, control is highly concentrated or operators cannot recover from incidents. PII measures the current quality of protocol security, decentralisation, availability and operational controls. ERI separately measures the system’s ability to withstand and recover from stress over time.</w:t>
      </w:r>
      <w:bookmarkEnd w:id="54"/>
    </w:p>
    <w:p>
      <w:pPr>
        <w:pStyle w:val="Heading2"/>
        <w:keepNext w:val="true"/>
        <w:keepLines/>
        <w:widowControl/>
        <w:rPr/>
      </w:pPr>
      <w:bookmarkStart w:id="55" w:name="__RefHeading___Toc8203_528838595"/>
      <w:bookmarkEnd w:id="55"/>
      <w:r>
        <w:rPr/>
        <w:t>3.5 Real-world connection</w:t>
      </w:r>
    </w:p>
    <w:p>
      <w:pPr>
        <w:pStyle w:val="Normal"/>
        <w:rPr/>
      </w:pPr>
      <w:bookmarkStart w:id="56" w:name="real-world-connection"/>
      <w:r>
        <w:rPr/>
        <w:t>The digital economy is strongest when it supports activity beyond internal token rotation. Stablecoin settlement, payments, tokenised financial instruments, enterprise usage and verifiable off-chain claims can connect networks to the wider economy. RWAI measures this connection while explicitly accounting for issuer, custody, oracle and legal dependencies.</w:t>
      </w:r>
      <w:bookmarkEnd w:id="56"/>
    </w:p>
    <w:p>
      <w:pPr>
        <w:pStyle w:val="Heading2"/>
        <w:keepNext w:val="true"/>
        <w:keepLines/>
        <w:widowControl/>
        <w:rPr/>
      </w:pPr>
      <w:bookmarkStart w:id="57" w:name="__RefHeading___Toc8205_528838595"/>
      <w:bookmarkEnd w:id="57"/>
      <w:r>
        <w:rPr/>
        <w:t>3.6 Economic resilience</w:t>
      </w:r>
    </w:p>
    <w:p>
      <w:pPr>
        <w:pStyle w:val="Normal"/>
        <w:rPr/>
      </w:pPr>
      <w:bookmarkStart w:id="58" w:name="networks-as-measurable-economies"/>
      <w:bookmarkStart w:id="59" w:name="economic-resilience"/>
      <w:r>
        <w:rPr/>
        <w:t>Growth measured only in favourable conditions is incomplete. Networks experience bear markets, congestion, exploits, validator exits, liquidity shocks, regulatory changes and infrastructure failures. ERI measures retention, redundancy, recovery and sustainable security capacity across stress periods.</w:t>
      </w:r>
      <w:bookmarkEnd w:id="58"/>
      <w:bookmarkEnd w:id="59"/>
    </w:p>
    <w:p>
      <w:pPr>
        <w:pStyle w:val="Heading1"/>
        <w:keepNext w:val="true"/>
        <w:keepLines/>
        <w:widowControl/>
        <w:pBdr>
          <w:bottom w:val="single" w:sz="6" w:space="5" w:color="8AB2BF"/>
        </w:pBdr>
        <w:jc w:val="start"/>
        <w:rPr/>
      </w:pPr>
      <w:bookmarkStart w:id="60" w:name="__RefHeading___Toc8207_528838595"/>
      <w:bookmarkEnd w:id="60"/>
      <w:r>
        <w:rPr/>
        <w:t>4. Constitutional Principles</w:t>
      </w:r>
    </w:p>
    <w:p>
      <w:pPr>
        <w:pStyle w:val="Normal"/>
        <w:rPr/>
      </w:pPr>
      <w:r>
        <w:rPr/>
        <w:t>The Voxonomics constitution defines the rules that every implementation must preserve. These rules are higher-level constraints on governance, software and economic design.</w:t>
      </w:r>
    </w:p>
    <w:p>
      <w:pPr>
        <w:pStyle w:val="Heading2"/>
        <w:keepNext w:val="true"/>
        <w:keepLines/>
        <w:widowControl/>
        <w:rPr/>
      </w:pPr>
      <w:bookmarkStart w:id="61" w:name="__RefHeading___Toc8209_528838595"/>
      <w:bookmarkEnd w:id="61"/>
      <w:r>
        <w:rPr/>
        <w:t>4.1 Universality</w:t>
      </w:r>
    </w:p>
    <w:p>
      <w:pPr>
        <w:pStyle w:val="Normal"/>
        <w:rPr/>
      </w:pPr>
      <w:bookmarkStart w:id="62" w:name="universality"/>
      <w:r>
        <w:rPr/>
        <w:t>The same six parent indices, equal parent weights, publication rules and reference-unit methodology apply to every network. No network receives a private formula, favourable benchmark or selective exclusion of weak dimensions.</w:t>
      </w:r>
      <w:bookmarkEnd w:id="62"/>
    </w:p>
    <w:p>
      <w:pPr>
        <w:pStyle w:val="Heading2"/>
        <w:keepNext w:val="true"/>
        <w:keepLines/>
        <w:widowControl/>
        <w:rPr/>
      </w:pPr>
      <w:bookmarkStart w:id="63" w:name="__RefHeading___Toc8211_528838595"/>
      <w:bookmarkEnd w:id="63"/>
      <w:r>
        <w:rPr/>
        <w:t>4.2 Chain agnosticism</w:t>
      </w:r>
    </w:p>
    <w:p>
      <w:pPr>
        <w:pStyle w:val="Normal"/>
        <w:rPr/>
      </w:pPr>
      <w:bookmarkStart w:id="64" w:name="chain-agnosticism"/>
      <w:r>
        <w:rPr/>
        <w:t>The standard is independent of a specific blockchain, virtual machine, consensus model or data provider. Chain-specific adapters are permitted only to translate architecture-specific evidence into universal definitions.</w:t>
      </w:r>
      <w:bookmarkEnd w:id="64"/>
    </w:p>
    <w:p>
      <w:pPr>
        <w:pStyle w:val="Heading2"/>
        <w:keepNext w:val="true"/>
        <w:keepLines/>
        <w:widowControl/>
        <w:rPr/>
      </w:pPr>
      <w:bookmarkStart w:id="65" w:name="__RefHeading___Toc8213_528838595"/>
      <w:bookmarkEnd w:id="65"/>
      <w:r>
        <w:rPr/>
        <w:t>4.3 Equal weighting</w:t>
      </w:r>
    </w:p>
    <w:p>
      <w:pPr>
        <w:pStyle w:val="Normal"/>
        <w:rPr/>
      </w:pPr>
      <w:bookmarkStart w:id="66" w:name="equal-weighting"/>
      <w:r>
        <w:rPr/>
        <w:t>PoV, OPI, DLI, PII, RWAI and ERI each receive exactly one-sixth of the core VTS. This constraint prevents governance from turning the framework into a narrative-weighted model. Submetric weights inside each index may be calibrated through evidence and governance, but the six parent indices remain equal in Edition 3.1.</w:t>
      </w:r>
      <w:bookmarkEnd w:id="66"/>
    </w:p>
    <w:p>
      <w:pPr>
        <w:pStyle w:val="Heading2"/>
        <w:keepNext w:val="true"/>
        <w:keepLines/>
        <w:widowControl/>
        <w:rPr/>
      </w:pPr>
      <w:bookmarkStart w:id="67" w:name="__RefHeading___Toc8215_528838595"/>
      <w:bookmarkEnd w:id="67"/>
      <w:r>
        <w:rPr/>
        <w:t>4.4 Verifiability</w:t>
      </w:r>
    </w:p>
    <w:p>
      <w:pPr>
        <w:pStyle w:val="Normal"/>
        <w:rPr/>
      </w:pPr>
      <w:bookmarkStart w:id="68" w:name="verifiability"/>
      <w:r>
        <w:rPr/>
        <w:t>Every published value must be traceable to source observations, transformation logic, adapter version, benchmark version and calculation timestamp. A result that cannot be independently reproduced is not an official Voxonomics result.</w:t>
      </w:r>
      <w:bookmarkEnd w:id="68"/>
    </w:p>
    <w:p>
      <w:pPr>
        <w:pStyle w:val="Heading2"/>
        <w:keepNext w:val="true"/>
        <w:keepLines/>
        <w:widowControl/>
        <w:rPr/>
      </w:pPr>
      <w:bookmarkStart w:id="69" w:name="__RefHeading___Toc8217_528838595"/>
      <w:bookmarkEnd w:id="69"/>
      <w:r>
        <w:rPr/>
        <w:t>4.5 Objective before subjective</w:t>
      </w:r>
    </w:p>
    <w:p>
      <w:pPr>
        <w:pStyle w:val="Normal"/>
        <w:rPr/>
      </w:pPr>
      <w:bookmarkStart w:id="70" w:name="objective-before-subjective"/>
      <w:r>
        <w:rPr/>
        <w:t>Direct on-chain observations and deterministic calculations have priority. Expert judgement may be used only for clearly labelled classifications, risk interpretation or disputed evidence. Subjective inputs cannot be hidden inside quantitative scores.</w:t>
      </w:r>
      <w:bookmarkEnd w:id="70"/>
    </w:p>
    <w:p>
      <w:pPr>
        <w:pStyle w:val="Heading2"/>
        <w:keepNext w:val="true"/>
        <w:keepLines/>
        <w:widowControl/>
        <w:rPr/>
      </w:pPr>
      <w:bookmarkStart w:id="71" w:name="__RefHeading___Toc8219_528838595"/>
      <w:bookmarkEnd w:id="71"/>
      <w:r>
        <w:rPr/>
        <w:t>4.6 Separation of measurement and markets</w:t>
      </w:r>
    </w:p>
    <w:p>
      <w:pPr>
        <w:pStyle w:val="Normal"/>
        <w:rPr/>
      </w:pPr>
      <w:bookmarkStart w:id="72" w:name="separation-of-measurement-and-markets"/>
      <w:r>
        <w:rPr/>
        <w:t>VTS measures intrinsic network economic performance. VRI measures market recognition. VOX and V-FOREX are optional implementation layers. Market price cannot be used to define VTS, and VOX-specific liquidity cannot be used to determine the score that authorises VOX issuance.</w:t>
      </w:r>
      <w:bookmarkEnd w:id="72"/>
    </w:p>
    <w:p>
      <w:pPr>
        <w:pStyle w:val="Heading2"/>
        <w:keepNext w:val="true"/>
        <w:keepLines/>
        <w:widowControl/>
        <w:rPr/>
      </w:pPr>
      <w:bookmarkStart w:id="73" w:name="__RefHeading___Toc8221_528838595"/>
      <w:bookmarkEnd w:id="73"/>
      <w:r>
        <w:rPr/>
        <w:t>4.7 Honest uncertainty</w:t>
      </w:r>
    </w:p>
    <w:p>
      <w:pPr>
        <w:pStyle w:val="Normal"/>
        <w:rPr/>
      </w:pPr>
      <w:bookmarkStart w:id="74" w:name="honest-uncertainty"/>
      <w:r>
        <w:rPr/>
        <w:t>A score must not imply more certainty than the evidence supports. VCS is mandatory. Provisional, experimental and disputed results must be labelled visibly.</w:t>
      </w:r>
      <w:bookmarkEnd w:id="74"/>
    </w:p>
    <w:p>
      <w:pPr>
        <w:pStyle w:val="Heading2"/>
        <w:keepNext w:val="true"/>
        <w:keepLines/>
        <w:widowControl/>
        <w:rPr/>
      </w:pPr>
      <w:bookmarkStart w:id="75" w:name="__RefHeading___Toc8223_528838595"/>
      <w:bookmarkEnd w:id="75"/>
      <w:r>
        <w:rPr/>
        <w:t>4.8 Immutable history with versioned recalculation</w:t>
      </w:r>
    </w:p>
    <w:p>
      <w:pPr>
        <w:pStyle w:val="Normal"/>
        <w:rPr/>
      </w:pPr>
      <w:bookmarkStart w:id="76" w:name="Xa9480092640502b742ef152bfcc2a1c6692c9af"/>
      <w:r>
        <w:rPr/>
        <w:t>Published historical observations are immutable. When methodology changes, the framework may publish a new versioned historical series, but it must preserve the previous series and identify the exact methodological difference. History is not silently rewritten.</w:t>
      </w:r>
      <w:bookmarkEnd w:id="76"/>
    </w:p>
    <w:p>
      <w:pPr>
        <w:pStyle w:val="Heading2"/>
        <w:keepNext w:val="true"/>
        <w:keepLines/>
        <w:widowControl/>
        <w:rPr/>
      </w:pPr>
      <w:bookmarkStart w:id="77" w:name="__RefHeading___Toc8225_528838595"/>
      <w:bookmarkEnd w:id="77"/>
      <w:r>
        <w:rPr/>
        <w:t>4.9 One DAO, one standard</w:t>
      </w:r>
    </w:p>
    <w:p>
      <w:pPr>
        <w:pStyle w:val="Normal"/>
        <w:rPr/>
      </w:pPr>
      <w:bookmarkStart w:id="78" w:name="one-dao-one-standard"/>
      <w:r>
        <w:rPr/>
        <w:t>One VOX DAO governs the global framework. It does not govern individual networks. It governs the common measurement standard, approved adapters, confidence policy, data-source standards, versioning and optional VOX implementation.</w:t>
      </w:r>
      <w:bookmarkEnd w:id="78"/>
    </w:p>
    <w:p>
      <w:pPr>
        <w:pStyle w:val="Heading2"/>
        <w:keepNext w:val="true"/>
        <w:keepLines/>
        <w:widowControl/>
        <w:rPr/>
      </w:pPr>
      <w:bookmarkStart w:id="79" w:name="__RefHeading___Toc8227_528838595"/>
      <w:bookmarkEnd w:id="79"/>
      <w:r>
        <w:rPr/>
        <w:t>4.10 Open observability</w:t>
      </w:r>
    </w:p>
    <w:p>
      <w:pPr>
        <w:pStyle w:val="Normal"/>
        <w:rPr/>
      </w:pPr>
      <w:r>
        <w:rPr/>
        <w:t>A public network does not need to opt in before it can be measured from public evidence. Official certification concerns the quality of the adapter and publication, not permission from the network.</w:t>
      </w:r>
    </w:p>
    <w:p>
      <w:pPr>
        <w:pStyle w:val="Normal"/>
        <w:rPr/>
      </w:pPr>
      <w:r>
        <w:rPr/>
        <w:drawing>
          <wp:inline distT="0" distB="0" distL="0" distR="0">
            <wp:extent cx="5440680" cy="2863850"/>
            <wp:effectExtent l="0" t="0" r="0" b="0"/>
            <wp:docPr id="3" name="Picture" descr="The Voxonomics architecture separates public evidence, universal adapters, measurement, analytical outputs, optional markets, and governanc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The Voxonomics architecture separates public evidence, universal adapters, measurement, analytical outputs, optional markets, and governance." title=""/>
                    <pic:cNvPicPr>
                      <a:picLocks noChangeAspect="1" noChangeArrowheads="1"/>
                    </pic:cNvPicPr>
                  </pic:nvPicPr>
                  <pic:blipFill>
                    <a:blip r:embed="rId4"/>
                    <a:stretch>
                      <a:fillRect/>
                    </a:stretch>
                  </pic:blipFill>
                  <pic:spPr bwMode="auto">
                    <a:xfrm>
                      <a:off x="0" y="0"/>
                      <a:ext cx="5440680" cy="2863850"/>
                    </a:xfrm>
                    <a:prstGeom prst="rect">
                      <a:avLst/>
                    </a:prstGeom>
                    <a:noFill/>
                  </pic:spPr>
                </pic:pic>
              </a:graphicData>
            </a:graphic>
          </wp:inline>
        </w:drawing>
      </w:r>
    </w:p>
    <w:p>
      <w:pPr>
        <w:pStyle w:val="Normal"/>
        <w:rPr/>
      </w:pPr>
      <w:bookmarkStart w:id="80" w:name="constitutional-principles"/>
      <w:bookmarkStart w:id="81" w:name="open-observability"/>
      <w:r>
        <w:rPr/>
        <w:t>The Voxonomics architecture separates public evidence, universal adapters, measurement, analytical outputs, optional markets, and governance.</w:t>
      </w:r>
      <w:bookmarkEnd w:id="80"/>
      <w:bookmarkEnd w:id="81"/>
      <w:r>
        <w:br w:type="page"/>
      </w:r>
    </w:p>
    <w:p>
      <w:pPr>
        <w:pStyle w:val="PartTitle"/>
        <w:spacing w:before="0" w:after="360"/>
        <w:rPr/>
      </w:pPr>
      <w:bookmarkStart w:id="82" w:name="__RefHeading___Toc8229_528838595"/>
      <w:bookmarkStart w:id="83" w:name="X4bc5a101f5d07211b48aebeab136db1366e52ea"/>
      <w:bookmarkEnd w:id="82"/>
      <w:r>
        <w:rPr/>
        <w:t>Part II — Architecture, Data and Measurement</w:t>
      </w:r>
      <w:bookmarkEnd w:id="83"/>
    </w:p>
    <w:p>
      <w:pPr>
        <w:pStyle w:val="Heading1"/>
        <w:keepNext w:val="true"/>
        <w:keepLines/>
        <w:widowControl/>
        <w:pBdr>
          <w:bottom w:val="single" w:sz="6" w:space="5" w:color="8AB2BF"/>
        </w:pBdr>
        <w:jc w:val="start"/>
        <w:rPr/>
      </w:pPr>
      <w:bookmarkStart w:id="84" w:name="__RefHeading___Toc8231_528838595"/>
      <w:bookmarkEnd w:id="84"/>
      <w:r>
        <w:rPr/>
        <w:t>5. System Architecture</w:t>
      </w:r>
    </w:p>
    <w:p>
      <w:pPr>
        <w:pStyle w:val="Heading2"/>
        <w:keepNext w:val="true"/>
        <w:keepLines/>
        <w:widowControl/>
        <w:rPr/>
      </w:pPr>
      <w:bookmarkStart w:id="85" w:name="__RefHeading___Toc8233_528838595"/>
      <w:bookmarkEnd w:id="85"/>
      <w:r>
        <w:rPr/>
        <w:t>5.1 Overview</w:t>
      </w:r>
    </w:p>
    <w:p>
      <w:pPr>
        <w:pStyle w:val="Normal"/>
        <w:rPr/>
      </w:pPr>
      <w:r>
        <w:rPr/>
        <w:t>Voxonomics is designed as a modular system rather than a single contract or data feed. The architecture contains six operational layers:</w:t>
      </w:r>
    </w:p>
    <w:p>
      <w:pPr>
        <w:pStyle w:val="Compact"/>
        <w:widowControl/>
        <w:numPr>
          <w:ilvl w:val="0"/>
          <w:numId w:val="814"/>
        </w:numPr>
        <w:rPr/>
      </w:pPr>
      <w:r>
        <w:rPr>
          <w:b/>
          <w:bCs/>
        </w:rPr>
        <w:t>Public data layer</w:t>
      </w:r>
      <w:r>
        <w:rPr/>
        <w:t xml:space="preserve"> — raw blockchain nodes, RPC services, event logs, indexers, subgraphs and verified external datasets.</w:t>
      </w:r>
    </w:p>
    <w:p>
      <w:pPr>
        <w:pStyle w:val="Compact"/>
        <w:widowControl/>
        <w:numPr>
          <w:ilvl w:val="0"/>
          <w:numId w:val="815"/>
        </w:numPr>
        <w:rPr/>
      </w:pPr>
      <w:r>
        <w:rPr>
          <w:b/>
          <w:bCs/>
        </w:rPr>
        <w:t>Adapter layer</w:t>
      </w:r>
      <w:r>
        <w:rPr/>
        <w:t xml:space="preserve"> — chain-specific extraction and transformation code mapped to universal metric definitions.</w:t>
      </w:r>
    </w:p>
    <w:p>
      <w:pPr>
        <w:pStyle w:val="Compact"/>
        <w:widowControl/>
        <w:numPr>
          <w:ilvl w:val="0"/>
          <w:numId w:val="816"/>
        </w:numPr>
        <w:rPr/>
      </w:pPr>
      <w:r>
        <w:rPr>
          <w:b/>
          <w:bCs/>
        </w:rPr>
        <w:t>Measurement engine</w:t>
      </w:r>
      <w:r>
        <w:rPr/>
        <w:t xml:space="preserve"> — normalisation, weighting, smoothing, validation and index aggregation.</w:t>
      </w:r>
    </w:p>
    <w:p>
      <w:pPr>
        <w:pStyle w:val="Compact"/>
        <w:widowControl/>
        <w:numPr>
          <w:ilvl w:val="0"/>
          <w:numId w:val="817"/>
        </w:numPr>
        <w:rPr/>
      </w:pPr>
      <w:r>
        <w:rPr>
          <w:b/>
          <w:bCs/>
        </w:rPr>
        <w:t>Analytical layer</w:t>
      </w:r>
      <w:r>
        <w:rPr/>
        <w:t xml:space="preserve"> — VTS, ERU, VRI, Opportunity Gap, VRS and VCS.</w:t>
      </w:r>
    </w:p>
    <w:p>
      <w:pPr>
        <w:pStyle w:val="Compact"/>
        <w:widowControl/>
        <w:numPr>
          <w:ilvl w:val="0"/>
          <w:numId w:val="818"/>
        </w:numPr>
        <w:rPr/>
      </w:pPr>
      <w:r>
        <w:rPr>
          <w:b/>
          <w:bCs/>
        </w:rPr>
        <w:t>Transparency and governance layer</w:t>
      </w:r>
      <w:r>
        <w:rPr/>
        <w:t xml:space="preserve"> — VoxUI, audit records, disputes, versioning and DAO processes.</w:t>
      </w:r>
    </w:p>
    <w:p>
      <w:pPr>
        <w:pStyle w:val="Compact"/>
        <w:widowControl/>
        <w:numPr>
          <w:ilvl w:val="0"/>
          <w:numId w:val="819"/>
        </w:numPr>
        <w:rPr/>
      </w:pPr>
      <w:r>
        <w:rPr>
          <w:b/>
          <w:bCs/>
        </w:rPr>
        <w:t>Optional economic layer</w:t>
      </w:r>
      <w:r>
        <w:rPr/>
        <w:t xml:space="preserve"> — VOX units, V-FOREX reference rates and settlement modules.</w:t>
      </w:r>
    </w:p>
    <w:p>
      <w:pPr>
        <w:pStyle w:val="Normal"/>
        <w:rPr/>
      </w:pPr>
      <w:bookmarkStart w:id="86" w:name="overview"/>
      <w:r>
        <w:rPr/>
        <w:t>The layers are deliberately separable. The measurement and analytical layers can operate before any DAO token, VOX asset or market exists.</w:t>
      </w:r>
      <w:bookmarkEnd w:id="86"/>
    </w:p>
    <w:p>
      <w:pPr>
        <w:pStyle w:val="Heading2"/>
        <w:keepNext w:val="true"/>
        <w:keepLines/>
        <w:widowControl/>
        <w:rPr/>
      </w:pPr>
      <w:bookmarkStart w:id="87" w:name="__RefHeading___Toc8235_528838595"/>
      <w:bookmarkEnd w:id="87"/>
      <w:r>
        <w:rPr/>
        <w:t>5.2 Public data layer</w:t>
      </w:r>
    </w:p>
    <w:p>
      <w:pPr>
        <w:pStyle w:val="Normal"/>
        <w:rPr/>
      </w:pPr>
      <w:r>
        <w:rPr/>
        <w:t>The public data layer acquires observable facts without interpreting them. Typical observations include blocks, transactions, receipts, events, balances, validator or miner records, governance events, DEX reserves, trade execution, bridge messages, security incidents and historical snapshots.</w:t>
      </w:r>
    </w:p>
    <w:p>
      <w:pPr>
        <w:pStyle w:val="BodyText"/>
        <w:widowControl/>
        <w:rPr/>
      </w:pPr>
      <w:r>
        <w:rPr/>
        <w:t>A data source is acceptable when it provides sufficient provenance to identify:</w:t>
      </w:r>
    </w:p>
    <w:p>
      <w:pPr>
        <w:pStyle w:val="Compact"/>
        <w:widowControl/>
        <w:numPr>
          <w:ilvl w:val="0"/>
          <w:numId w:val="820"/>
        </w:numPr>
        <w:rPr/>
      </w:pPr>
      <w:r>
        <w:rPr/>
        <w:t>the network and chain identifier;</w:t>
      </w:r>
    </w:p>
    <w:p>
      <w:pPr>
        <w:pStyle w:val="Compact"/>
        <w:widowControl/>
        <w:numPr>
          <w:ilvl w:val="0"/>
          <w:numId w:val="821"/>
        </w:numPr>
        <w:rPr/>
      </w:pPr>
      <w:r>
        <w:rPr/>
        <w:t>the observed block height or time range;</w:t>
      </w:r>
    </w:p>
    <w:p>
      <w:pPr>
        <w:pStyle w:val="Compact"/>
        <w:widowControl/>
        <w:numPr>
          <w:ilvl w:val="0"/>
          <w:numId w:val="822"/>
        </w:numPr>
        <w:rPr/>
      </w:pPr>
      <w:r>
        <w:rPr/>
        <w:t>the extraction method;</w:t>
      </w:r>
    </w:p>
    <w:p>
      <w:pPr>
        <w:pStyle w:val="Compact"/>
        <w:widowControl/>
        <w:numPr>
          <w:ilvl w:val="0"/>
          <w:numId w:val="823"/>
        </w:numPr>
        <w:rPr/>
      </w:pPr>
      <w:r>
        <w:rPr/>
        <w:t>units and decimal conventions;</w:t>
      </w:r>
    </w:p>
    <w:p>
      <w:pPr>
        <w:pStyle w:val="Compact"/>
        <w:widowControl/>
        <w:numPr>
          <w:ilvl w:val="0"/>
          <w:numId w:val="824"/>
        </w:numPr>
        <w:rPr/>
      </w:pPr>
      <w:r>
        <w:rPr/>
        <w:t>whether the observation is raw, aggregated or estimated;</w:t>
      </w:r>
    </w:p>
    <w:p>
      <w:pPr>
        <w:pStyle w:val="Compact"/>
        <w:widowControl/>
        <w:numPr>
          <w:ilvl w:val="0"/>
          <w:numId w:val="825"/>
        </w:numPr>
        <w:rPr/>
      </w:pPr>
      <w:r>
        <w:rPr/>
        <w:t>revision policy and known limitations.</w:t>
      </w:r>
    </w:p>
    <w:p>
      <w:pPr>
        <w:pStyle w:val="Normal"/>
        <w:rPr/>
      </w:pPr>
      <w:bookmarkStart w:id="88" w:name="public-data-layer"/>
      <w:r>
        <w:rPr/>
        <w:t>Direct node and RPC data are preferred for facts that can be computed deterministically. Indexers and specialised providers are used where complete historical reconstruction would otherwise be impractical. No single provider is treated as an unquestionable authority.</w:t>
      </w:r>
      <w:bookmarkEnd w:id="88"/>
    </w:p>
    <w:p>
      <w:pPr>
        <w:pStyle w:val="Heading2"/>
        <w:keepNext w:val="true"/>
        <w:keepLines/>
        <w:widowControl/>
        <w:rPr/>
      </w:pPr>
      <w:bookmarkStart w:id="89" w:name="__RefHeading___Toc8237_528838595"/>
      <w:bookmarkEnd w:id="89"/>
      <w:r>
        <w:rPr/>
        <w:t>5.3 Adapter layer</w:t>
      </w:r>
    </w:p>
    <w:p>
      <w:pPr>
        <w:pStyle w:val="Normal"/>
        <w:rPr/>
      </w:pPr>
      <w:r>
        <w:rPr/>
        <w:t>An adapter translates a network’s architecture into the canonical metric registry. Every adapter must include:</w:t>
      </w:r>
    </w:p>
    <w:p>
      <w:pPr>
        <w:pStyle w:val="Compact"/>
        <w:widowControl/>
        <w:numPr>
          <w:ilvl w:val="0"/>
          <w:numId w:val="826"/>
        </w:numPr>
        <w:rPr/>
      </w:pPr>
      <w:r>
        <w:rPr/>
        <w:t>network identity and canonical chain scope;</w:t>
      </w:r>
    </w:p>
    <w:p>
      <w:pPr>
        <w:pStyle w:val="Compact"/>
        <w:widowControl/>
        <w:numPr>
          <w:ilvl w:val="0"/>
          <w:numId w:val="827"/>
        </w:numPr>
        <w:rPr/>
      </w:pPr>
      <w:r>
        <w:rPr/>
        <w:t>supported metric definitions;</w:t>
      </w:r>
    </w:p>
    <w:p>
      <w:pPr>
        <w:pStyle w:val="Compact"/>
        <w:widowControl/>
        <w:numPr>
          <w:ilvl w:val="0"/>
          <w:numId w:val="828"/>
        </w:numPr>
        <w:rPr/>
      </w:pPr>
      <w:r>
        <w:rPr/>
        <w:t>source hierarchy and fallback sources;</w:t>
      </w:r>
    </w:p>
    <w:p>
      <w:pPr>
        <w:pStyle w:val="Compact"/>
        <w:widowControl/>
        <w:numPr>
          <w:ilvl w:val="0"/>
          <w:numId w:val="829"/>
        </w:numPr>
        <w:rPr/>
      </w:pPr>
      <w:r>
        <w:rPr/>
        <w:t>extraction queries or code;</w:t>
      </w:r>
    </w:p>
    <w:p>
      <w:pPr>
        <w:pStyle w:val="Compact"/>
        <w:widowControl/>
        <w:numPr>
          <w:ilvl w:val="0"/>
          <w:numId w:val="830"/>
        </w:numPr>
        <w:rPr/>
      </w:pPr>
      <w:r>
        <w:rPr/>
        <w:t>unit conversions;</w:t>
      </w:r>
    </w:p>
    <w:p>
      <w:pPr>
        <w:pStyle w:val="Compact"/>
        <w:widowControl/>
        <w:numPr>
          <w:ilvl w:val="0"/>
          <w:numId w:val="831"/>
        </w:numPr>
        <w:rPr/>
      </w:pPr>
      <w:r>
        <w:rPr/>
        <w:t>exclusions and known blind spots;</w:t>
      </w:r>
    </w:p>
    <w:p>
      <w:pPr>
        <w:pStyle w:val="Compact"/>
        <w:widowControl/>
        <w:numPr>
          <w:ilvl w:val="0"/>
          <w:numId w:val="832"/>
        </w:numPr>
        <w:rPr/>
      </w:pPr>
      <w:r>
        <w:rPr/>
        <w:t>test fixtures and expected outputs;</w:t>
      </w:r>
    </w:p>
    <w:p>
      <w:pPr>
        <w:pStyle w:val="Compact"/>
        <w:widowControl/>
        <w:numPr>
          <w:ilvl w:val="0"/>
          <w:numId w:val="833"/>
        </w:numPr>
        <w:rPr/>
      </w:pPr>
      <w:r>
        <w:rPr/>
        <w:t>version number and maintainers;</w:t>
      </w:r>
    </w:p>
    <w:p>
      <w:pPr>
        <w:pStyle w:val="Compact"/>
        <w:widowControl/>
        <w:numPr>
          <w:ilvl w:val="0"/>
          <w:numId w:val="834"/>
        </w:numPr>
        <w:rPr/>
      </w:pPr>
      <w:r>
        <w:rPr/>
        <w:t>reproducible build and execution instructions.</w:t>
      </w:r>
    </w:p>
    <w:p>
      <w:pPr>
        <w:pStyle w:val="Normal"/>
        <w:rPr/>
      </w:pPr>
      <w:bookmarkStart w:id="90" w:name="adapter-layer"/>
      <w:r>
        <w:rPr/>
        <w:t>Adapters are public and reviewable. Certification means the adapter follows the standard; it does not imply endorsement of the measured network.</w:t>
      </w:r>
      <w:bookmarkEnd w:id="90"/>
    </w:p>
    <w:p>
      <w:pPr>
        <w:pStyle w:val="Heading2"/>
        <w:keepNext w:val="true"/>
        <w:keepLines/>
        <w:widowControl/>
        <w:rPr/>
      </w:pPr>
      <w:bookmarkStart w:id="91" w:name="__RefHeading___Toc8239_528838595"/>
      <w:bookmarkEnd w:id="91"/>
      <w:r>
        <w:rPr/>
        <w:t>5.4 Measurement engine</w:t>
      </w:r>
    </w:p>
    <w:p>
      <w:pPr>
        <w:pStyle w:val="Normal"/>
        <w:rPr/>
      </w:pPr>
      <w:r>
        <w:rPr/>
        <w:t>The measurement engine receives validated observations and applies deterministic steps:</w:t>
      </w:r>
    </w:p>
    <w:p>
      <w:pPr>
        <w:pStyle w:val="Compact"/>
        <w:widowControl/>
        <w:numPr>
          <w:ilvl w:val="0"/>
          <w:numId w:val="835"/>
        </w:numPr>
        <w:rPr/>
      </w:pPr>
      <w:r>
        <w:rPr/>
        <w:t>direction and unit transformations;</w:t>
      </w:r>
    </w:p>
    <w:p>
      <w:pPr>
        <w:pStyle w:val="Compact"/>
        <w:widowControl/>
        <w:numPr>
          <w:ilvl w:val="0"/>
          <w:numId w:val="836"/>
        </w:numPr>
        <w:rPr/>
      </w:pPr>
      <w:r>
        <w:rPr/>
        <w:t>quality filters and source reconciliation;</w:t>
      </w:r>
    </w:p>
    <w:p>
      <w:pPr>
        <w:pStyle w:val="Compact"/>
        <w:widowControl/>
        <w:numPr>
          <w:ilvl w:val="0"/>
          <w:numId w:val="837"/>
        </w:numPr>
        <w:rPr/>
      </w:pPr>
      <w:r>
        <w:rPr/>
        <w:t>robust normalisation;</w:t>
      </w:r>
    </w:p>
    <w:p>
      <w:pPr>
        <w:pStyle w:val="Compact"/>
        <w:widowControl/>
        <w:numPr>
          <w:ilvl w:val="0"/>
          <w:numId w:val="838"/>
        </w:numPr>
        <w:rPr/>
      </w:pPr>
      <w:r>
        <w:rPr/>
        <w:t>time smoothing and persistence tests;</w:t>
      </w:r>
    </w:p>
    <w:p>
      <w:pPr>
        <w:pStyle w:val="Compact"/>
        <w:widowControl/>
        <w:numPr>
          <w:ilvl w:val="0"/>
          <w:numId w:val="839"/>
        </w:numPr>
        <w:rPr/>
      </w:pPr>
      <w:r>
        <w:rPr/>
        <w:t>submetric aggregation;</w:t>
      </w:r>
    </w:p>
    <w:p>
      <w:pPr>
        <w:pStyle w:val="Compact"/>
        <w:widowControl/>
        <w:numPr>
          <w:ilvl w:val="0"/>
          <w:numId w:val="840"/>
        </w:numPr>
        <w:rPr/>
      </w:pPr>
      <w:r>
        <w:rPr/>
        <w:t>parent-index aggregation;</w:t>
      </w:r>
    </w:p>
    <w:p>
      <w:pPr>
        <w:pStyle w:val="Compact"/>
        <w:widowControl/>
        <w:numPr>
          <w:ilvl w:val="0"/>
          <w:numId w:val="841"/>
        </w:numPr>
        <w:rPr/>
      </w:pPr>
      <w:r>
        <w:rPr/>
        <w:t>coverage and confidence calculation;</w:t>
      </w:r>
    </w:p>
    <w:p>
      <w:pPr>
        <w:pStyle w:val="Compact"/>
        <w:widowControl/>
        <w:numPr>
          <w:ilvl w:val="0"/>
          <w:numId w:val="842"/>
        </w:numPr>
        <w:rPr/>
      </w:pPr>
      <w:r>
        <w:rPr/>
        <w:t>publication of results and evidence.</w:t>
      </w:r>
    </w:p>
    <w:p>
      <w:pPr>
        <w:pStyle w:val="Normal"/>
        <w:rPr/>
      </w:pPr>
      <w:r>
        <w:rPr/>
        <w:drawing>
          <wp:inline distT="0" distB="0" distL="0" distR="0">
            <wp:extent cx="5742940" cy="391160"/>
            <wp:effectExtent l="0" t="0" r="0" b="0"/>
            <wp:docPr id="4" name="Image2" descr="The canonical data path from raw observation to published scor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The canonical data path from raw observation to published score." title=""/>
                    <pic:cNvPicPr>
                      <a:picLocks noChangeAspect="1" noChangeArrowheads="1"/>
                    </pic:cNvPicPr>
                  </pic:nvPicPr>
                  <pic:blipFill>
                    <a:blip r:embed="rId5"/>
                    <a:stretch>
                      <a:fillRect/>
                    </a:stretch>
                  </pic:blipFill>
                  <pic:spPr bwMode="auto">
                    <a:xfrm>
                      <a:off x="0" y="0"/>
                      <a:ext cx="5742940" cy="391160"/>
                    </a:xfrm>
                    <a:prstGeom prst="rect">
                      <a:avLst/>
                    </a:prstGeom>
                    <a:noFill/>
                  </pic:spPr>
                </pic:pic>
              </a:graphicData>
            </a:graphic>
          </wp:inline>
        </w:drawing>
      </w:r>
    </w:p>
    <w:p>
      <w:pPr>
        <w:pStyle w:val="Normal"/>
        <w:rPr/>
      </w:pPr>
      <w:bookmarkStart w:id="92" w:name="measurement-engine"/>
      <w:r>
        <w:rPr/>
        <w:t>The canonical data path from raw observation to published score.</w:t>
      </w:r>
      <w:bookmarkEnd w:id="92"/>
    </w:p>
    <w:p>
      <w:pPr>
        <w:pStyle w:val="Heading2"/>
        <w:keepNext w:val="true"/>
        <w:keepLines/>
        <w:widowControl/>
        <w:rPr/>
      </w:pPr>
      <w:bookmarkStart w:id="93" w:name="__RefHeading___Toc8241_528838595"/>
      <w:bookmarkEnd w:id="93"/>
      <w:r>
        <w:rPr/>
        <w:t>5.5 Analytical layer</w:t>
      </w:r>
    </w:p>
    <w:p>
      <w:pPr>
        <w:pStyle w:val="Normal"/>
        <w:rPr/>
      </w:pPr>
      <w:r>
        <w:rPr/>
        <w:t>The analytical layer does not replace the underlying indices. It converts them into distinct decision tools:</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Output</w:t>
            </w:r>
          </w:p>
        </w:tc>
        <w:tc>
          <w:tcPr>
            <w:tcW w:w="321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Purpose</w:t>
            </w:r>
          </w:p>
        </w:tc>
        <w:tc>
          <w:tcPr>
            <w:tcW w:w="321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Direction</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VTS</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Intrinsic network economic measurement</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Higher is stronger relative to ERU</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VRI</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Market recognition of fundamentals</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Higher is greater recognition</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Opportunity Gap</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Difference between intrinsic measurement and recognition</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suggests under-recognition; negative suggests over-recognition</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VRS</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Aggregate structural risk</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Higher is riskier</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VCS</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Confidence in evidence and calculation</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Higher is more reliable</w:t>
            </w:r>
            <w:bookmarkStart w:id="94" w:name="analytical-layer"/>
            <w:bookmarkEnd w:id="94"/>
          </w:p>
        </w:tc>
      </w:tr>
    </w:tbl>
    <w:p>
      <w:pPr>
        <w:pStyle w:val="Heading2"/>
        <w:keepNext w:val="true"/>
        <w:keepLines/>
        <w:widowControl/>
        <w:rPr/>
      </w:pPr>
      <w:bookmarkStart w:id="95" w:name="__RefHeading___Toc8243_528838595"/>
      <w:bookmarkEnd w:id="95"/>
      <w:r>
        <w:rPr/>
        <w:t>5.6 Transparency and governance layer</w:t>
      </w:r>
    </w:p>
    <w:p>
      <w:pPr>
        <w:pStyle w:val="Normal"/>
        <w:rPr/>
      </w:pPr>
      <w:r>
        <w:rPr/>
        <w:t>VoxUI exposes current and historical scores, source observations, methodology versions, calculation traces, confidence bands and governance decisions. The DAO maintains the standard and adjudicates disputes through published evidence rather than private discretion.</w:t>
      </w:r>
    </w:p>
    <w:p>
      <w:pPr>
        <w:pStyle w:val="Heading2"/>
        <w:keepNext w:val="true"/>
        <w:keepLines/>
        <w:widowControl/>
        <w:rPr/>
      </w:pPr>
      <w:bookmarkStart w:id="96" w:name="__RefHeading___Toc8245_528838595"/>
      <w:bookmarkEnd w:id="96"/>
      <w:r>
        <w:rPr/>
        <w:t>5.7 Optional economic layer</w:t>
      </w:r>
    </w:p>
    <w:p>
      <w:pPr>
        <w:pStyle w:val="Normal"/>
        <w:rPr/>
      </w:pPr>
      <w:bookmarkStart w:id="97" w:name="system-architecture"/>
      <w:bookmarkStart w:id="98" w:name="optional-economic-layer"/>
      <w:r>
        <w:rPr/>
        <w:t>The optional economic layer translates VTS into VOX units and cross-network reference ratios. It is not required for the framework to deliver value. Its activation is gated by higher standards because issuance, market liquidity, bridges and settlement introduce risks that do not exist in a read-only analytical system.</w:t>
      </w:r>
      <w:bookmarkEnd w:id="97"/>
      <w:bookmarkEnd w:id="98"/>
    </w:p>
    <w:p>
      <w:pPr>
        <w:pStyle w:val="Heading2"/>
        <w:pageBreakBefore/>
      </w:pPr>
      <w:r>
        <w:t>5.8 Universal collector FLOW contract</w:t>
      </w:r>
    </w:p>
    <w:p>
      <w:pPr>
        <w:pStyle w:val="BodyText"/>
      </w:pPr>
      <w:r>
        <w:t>Every network collector performs the same job: discover the eligible head, collect available chain facts promptly, verify and canonicalise them, preserve evidence in that network’s store, account explicitly for unresolved work, and repair historical gaps using spare capacity. This FLOW contract applies across networks. Chain-specific adapters differ only where blockchain mechanics require different discovery, finality, extraction, verification or canonicalisation logic.</w:t>
      </w:r>
    </w:p>
    <w:p>
      <w:pPr>
        <w:pStyle w:val="BodyText"/>
      </w:pPr>
      <w:r>
        <w:t>The pipeline remains COLLECT → MEASURE → SCORE. FLOW specifies the collection stage; verified evidence then feeds the measurement engine in Section 5.4 and the analytical layer in Section 5.5. Collector scheduling, request pacing and operational telemetry do not change canonical metric definitions, normalisation, smoothing, index weights or publication rules.</w:t>
      </w:r>
    </w:p>
    <w:p>
      <w:pPr>
        <w:pStyle w:val="BodyText"/>
      </w:pPr>
      <w:r>
        <w:t>Each network maintains an independent canonical evidence and data store, with its own identity, provenance, checkpoints and recovery state. Shared collector code and a common measurement contract do not merge network histories or allow one network’s evidence to substitute for another’s. Cross-network analysis consumes the explicitly identified stores under the canonical scope rules in Section 7.3.</w:t>
      </w:r>
    </w:p>
    <w:p>
      <w:pPr>
        <w:pStyle w:val="BodyText"/>
      </w:pPr>
      <w:r>
        <w:t>LIVE has priority at work admission, request release, worker allocation and persistence. REPAIR may use only demonstrably spare capacity and must yield when live demand returns. Historical repair must never hold LIVE hostage through a full queue, reserved future gate releases, occupied workers or long storage locks. In-flight repair is bounded and time-limited; newly eligible live work must not wait for an entire repair batch to finish.</w:t>
      </w:r>
    </w:p>
    <w:p>
      <w:pPr>
        <w:pStyle w:val="BodyText"/>
      </w:pPr>
      <w:r>
        <w:t>Architectural status. Sections 5.8–5.13 state the required design and its validation process. Incorporation into this edition does not certify the bandwidth-gated implementation for production. Per-network implementation, measured tuning and certification status must be recorded separately; the adapter certification states in Section 7.4 continue to apply.</w:t>
      </w:r>
    </w:p>
    <w:p>
      <w:pPr>
        <w:pStyle w:val="Heading2"/>
        <w:pageBreakBefore/>
      </w:pPr>
      <w:r>
        <w:t>5.9 Collector FLOW architecture</w:t>
      </w:r>
    </w:p>
    <w:p>
      <w:pPr>
        <w:pStyle w:val="BodyText"/>
      </w:pPr>
      <w:r>
        <w:t>Figure 5.1 specifies the logical collection path. Each network instantiates this same contract through its adapter and independent store. The gate governs actual provider request starts, including retries and fallback requests, even when workers perform the requests internally.</w:t>
      </w:r>
    </w:p>
    <w:p>
      <w:pPr>
        <w:pStyle w:val="BodyText"/>
        <w:spacing w:after="80"/>
      </w:pPr>
      <w:r>
        <w:drawing>
          <wp:inline xmlns:a="http://schemas.openxmlformats.org/drawingml/2006/main">
            <wp:extent cx="5486400" cy="5943600"/>
            <wp:docPr id="80" name="Picture 80" descr="Universal collector FLOW from head discovery through LIVE priority, three independent controls, provider, fetch, verification, evidence, single-writer storage and completed frontier. REPAIR uses spare capacity only."/>
            <wp:cNvGraphicFramePr>
              <a:graphicFrameLocks noChangeAspect="1"/>
            </wp:cNvGraphicFramePr>
            <a:graphic>
              <a:graphicData uri="http://schemas.openxmlformats.org/drawingml/2006/picture">
                <pic:pic>
                  <pic:nvPicPr>
                    <pic:cNvPr id="0" name="Voxonomics_Collector_FLOW_Architecture.png"/>
                    <pic:cNvPicPr/>
                  </pic:nvPicPr>
                  <pic:blipFill>
                    <a:blip r:embed="rId91"/>
                    <a:stretch>
                      <a:fillRect/>
                    </a:stretch>
                  </pic:blipFill>
                  <pic:spPr>
                    <a:xfrm>
                      <a:off x="0" y="0"/>
                      <a:ext cx="5486400" cy="5943600"/>
                    </a:xfrm>
                    <a:prstGeom prst="rect"/>
                  </pic:spPr>
                </pic:pic>
              </a:graphicData>
            </a:graphic>
          </wp:inline>
        </w:drawing>
      </w:r>
    </w:p>
    <w:p>
      <w:pPr>
        <w:pStyle w:val="Caption"/>
      </w:pPr>
      <w:r>
        <w:t>Figure 5.1. Universal collector FLOW architectural contract. Network-specific mechanics and measured settings implement the common path; production validation is separate.</w:t>
      </w:r>
    </w:p>
    <w:p>
      <w:pPr>
        <w:pStyle w:val="Heading3"/>
        <w:pageBreakBefore/>
      </w:pPr>
      <w:r>
        <w:t>Independent network evidence and common measurement</w:t>
      </w:r>
    </w:p>
    <w:p>
      <w:pPr>
        <w:pStyle w:val="BodyText"/>
      </w:pPr>
      <w:r>
        <w:t>Figure 5.2 shows how the universal FLOW contract is repeated across networks. Each adapter handles the network’s own blockchain mechanics and measured operating settings. The resulting canonical stores remain independent; the common measurement layer consumes their explicitly scoped evidence.</w:t>
      </w:r>
    </w:p>
    <w:p>
      <w:pPr>
        <w:pStyle w:val="BodyText"/>
      </w:pPr>
      <w:r>
        <w:drawing>
          <wp:inline xmlns:a="http://schemas.openxmlformats.org/drawingml/2006/main">
            <wp:extent cx="5669280" cy="3149600"/>
            <wp:docPr id="81" name="Picture 81" descr="Ethereum, Avalanche and Solana each use universal FLOW with their own settings and independent canonical evidence store. The stores feed common measurement and scoring rules."/>
            <wp:cNvGraphicFramePr>
              <a:graphicFrameLocks noChangeAspect="1"/>
            </wp:cNvGraphicFramePr>
            <a:graphic>
              <a:graphicData uri="http://schemas.openxmlformats.org/drawingml/2006/picture">
                <pic:pic>
                  <pic:nvPicPr>
                    <pic:cNvPr id="0" name="Voxonomics_Per_Network_Evidence_Architecture.png"/>
                    <pic:cNvPicPr/>
                  </pic:nvPicPr>
                  <pic:blipFill>
                    <a:blip r:embed="rId92"/>
                    <a:stretch>
                      <a:fillRect/>
                    </a:stretch>
                  </pic:blipFill>
                  <pic:spPr>
                    <a:xfrm>
                      <a:off x="0" y="0"/>
                      <a:ext cx="5669280" cy="3149600"/>
                    </a:xfrm>
                    <a:prstGeom prst="rect"/>
                  </pic:spPr>
                </pic:pic>
              </a:graphicData>
            </a:graphic>
          </wp:inline>
        </w:drawing>
      </w:r>
    </w:p>
    <w:p>
      <w:pPr>
        <w:pStyle w:val="Caption"/>
      </w:pPr>
      <w:r>
        <w:t>Figure 5.2. Independent network evidence stores feed the same measurement and scoring contract. These networks illustrate adapter mechanics; their operating settings are measured separately.</w:t>
      </w:r>
    </w:p>
    <w:p>
      <w:pPr>
        <w:pStyle w:val="BodyText"/>
      </w:pPr>
      <w:r>
        <w:t>The warehouse controls how much eligible work is ready. The gate controls how quickly requests start. Workers control how much work can be in flight. Each network must expose all three controls, and each can be adjusted without implicitly changing the others. Section 5.10 explains their coordination; Section 5.13 defines the tuning and validation process.</w:t>
      </w:r>
    </w:p>
    <w:p>
      <w:pPr>
        <w:pStyle w:val="BodyText"/>
      </w:pPr>
      <w:r>
        <w:t>LIVE and REPAIR share the integrity contract. REPAIR receives only spare admission, request, worker and persistence capacity. Its results return through verification and the single writer; historical gaps remain visible until resolved. Section 5.11 explains why continuing live collection and reporting a contiguous completed frontier are distinct responsibilities.</w:t>
      </w:r>
    </w:p>
    <w:p>
      <w:pPr>
        <w:pStyle w:val="Heading2"/>
        <w:pageBreakBefore/>
      </w:pPr>
      <w:r>
        <w:t>5.10 Independent capacity controls and provider pacing</w:t>
      </w:r>
    </w:p>
    <w:p>
      <w:pPr>
        <w:pStyle w:val="BodyText"/>
      </w:pPr>
      <w:r>
        <w:t>Warehouse depth bounds how much eligible fetch work can be prepared ahead of execution. It provides enough ready work to cover normal provider latency while bounding memory, pending results and recovery exposure. It must respect the eligible head and avoid duplicate work. Increasing read-ahead must not automatically increase request rate or worker count.</w:t>
      </w:r>
    </w:p>
    <w:p>
      <w:pPr>
        <w:pStyle w:val="BodyText"/>
      </w:pPr>
      <w:r>
        <w:t>The provider bandwidth gate controls request release. It must smooth actual request starts and prevent queued work from becoming an uncontrolled burst. Gate settings are measured for the provider and quota scope, including shared upstream or account limits. All relevant outbound RPC paths, retries and fallback traffic must participate in that budget; head discovery must retain capacity so a saturated fetch queue cannot blind LIVE scheduling.</w:t>
      </w:r>
    </w:p>
    <w:p>
      <w:pPr>
        <w:pStyle w:val="BodyText"/>
      </w:pPr>
      <w:r>
        <w:t>Worker count bounds safe concurrent execution. It is tuned independently to overlap provider latency without exceeding resource, connection or persistence capacity. Waiting for permission to send is distinguishable from an active request. Gate permission and worker availability must be coordinated near the actual send so delayed workers do not accumulate permits and release a later burst.</w:t>
      </w:r>
    </w:p>
    <w:p>
      <w:pPr>
        <w:pStyle w:val="BodyText"/>
      </w:pPr>
      <w:r>
        <w:t>The provider ring selects eligible sources under the hierarchy and independence rules in Sections 6.1–6.2. Source selection identifies the applicable gate budget before a request is released. A ring may contain one usable source or several; multiple endpoints must not be assumed to provide independent evidence or independent quota. Source changes retain provenance and the same verification requirements.</w:t>
      </w:r>
    </w:p>
    <w:p>
      <w:pPr>
        <w:pStyle w:val="BodyText"/>
      </w:pPr>
      <w:r>
        <w:t>Refusals and HTTP 429 responses trigger bounded retry and backoff, with provider retry guidance respected where supplied. Repeated refusals, rising latency or exhausted capacity must contain further pressure rather than provoke a retry storm. Fallback requests remain paced. Queue depth is not a substitute for a provider rate budget, and enlarging the warehouse must not open the gate.</w:t>
      </w:r>
    </w:p>
    <w:p>
      <w:pPr>
        <w:pStyle w:val="BodyText"/>
      </w:pPr>
      <w:r>
        <w:t>All three controls are independently configurable and observable for each network. Their joint purpose is the smoothest, fastest sustainable collection supported by measured conditions, with recovery headroom and evidence integrity. A smooth release schedule does not guarantee evenly spaced completions or constant lag: provider response times, chain production, verification and storage can still vary.</w:t>
      </w:r>
    </w:p>
    <w:p>
      <w:pPr>
        <w:pStyle w:val="Heading2"/>
        <w:pageBreakBefore/>
      </w:pPr>
      <w:r>
        <w:t>5.11 Canonical ordering and network mechanics</w:t>
      </w:r>
    </w:p>
    <w:p>
      <w:pPr>
        <w:pStyle w:val="BodyText"/>
      </w:pPr>
      <w:r>
        <w:t>Fetch workers may finish out of order, but canonical persistence must follow the network’s declared ordering and finality rules. A single logical writer per network owns canonical updates and checkpoint advancement. Parallel workers and repair paths must not bypass that ownership. Retries and replay are idempotent; duplicate observations cannot become duplicate economic facts.</w:t>
      </w:r>
    </w:p>
    <w:p>
      <w:pPr>
        <w:pStyle w:val="BodyText"/>
      </w:pPr>
      <w:r>
        <w:t>Evidence and its provenance must be durably stored before the corresponding completion checkpoint is advanced. Persisted data and checkpoints must remain consistent across interruption and restart. A completed frontier denotes the highest contiguous coordinate for which all eligible work has been durably verified and resolved within the declared collection scope. A highest fetched coordinate or latest live completion cannot stand in for that frontier.</w:t>
      </w:r>
    </w:p>
    <w:p>
      <w:pPr>
        <w:pStyle w:val="BodyText"/>
      </w:pPr>
      <w:r>
        <w:t>Unresolved historical gaps remain explicit. LIVE may continue collecting and durably staging newer verified observations while a gap holds back the contiguous frontier. The system must expose both live progress and complete coverage; it cannot claim the missing interval is complete to make lag appear smaller. Repair uses the same verification, canonicalisation and writer path, with bounded admission and storage work that preserves LIVE priority.</w:t>
      </w:r>
    </w:p>
    <w:p>
      <w:pPr>
        <w:pStyle w:val="BodyText"/>
      </w:pPr>
      <w:r>
        <w:t>Solana’s adapter uses finalized slots and explicit skipped-slot resolution. A slot with a block requires the relevant block evidence. A legitimate skipped slot requires a verifiable resolution record under the adapter’s rules before the frontier crosses it. A null response, timeout, pruned response or unavailable provider is not by itself proof that the slot was skipped. Skipped slots must not manufacture transactions or economic activity.</w:t>
      </w:r>
    </w:p>
    <w:p>
      <w:pPr>
        <w:pStyle w:val="BodyText"/>
      </w:pPr>
      <w:r>
        <w:t>Ethereum and Avalanche adapters use block semantics within their declared network scope, including the required finality, block identity and supporting transaction, receipt or event evidence. They do not inherit Solana’s skipped-slot treatment. These extraction differences leave the universal metric definitions unchanged; native coordinates and units are explicitly labelled in operational telemetry.</w:t>
      </w:r>
    </w:p>
    <w:p>
      <w:pPr>
        <w:pStyle w:val="BodyText"/>
      </w:pPr>
      <w:r>
        <w:t>Network identity, hashes, provenance, source disagreements and finality checks remain subject to Sections 6.3–6.4 and 33.2–33.4. Corrections and reorganisations follow versioned reconciliation with an audit trail. Pacing, throughput tuning and repair must never weaken verification or silently rewrite published historical evidence.</w:t>
      </w:r>
    </w:p>
    <w:p>
      <w:pPr>
        <w:pStyle w:val="Heading2"/>
        <w:pageBreakBefore/>
      </w:pPr>
      <w:r>
        <w:t>5.12 Universal collector telemetry</w:t>
      </w:r>
    </w:p>
    <w:p>
      <w:pPr>
        <w:pStyle w:val="BodyText"/>
      </w:pPr>
      <w:r>
        <w:t>Every collector must expose the following operational observations with network identity, configuration and adapter version, observation time, measurement window and explicit units. Separate LIVE and REPAIR where applicable, and distinguish unavailable telemetry from a measured zero. These diagnostics support collection assurance; they add no economic submetrics or scoring weights.</w:t>
      </w:r>
    </w:p>
    <w:p>
      <w:pPr>
        <w:pStyle w:val="BodyText"/>
      </w:pPr>
      <w:r>
        <w:rPr>
          <w:b/>
        </w:rPr>
        <w:t xml:space="preserve">Head and frontier. </w:t>
      </w:r>
      <w:r>
        <w:t>Eligible finalized head, contiguous completed frontier, latest durable live completion, coordinate lag, time lag where timestamps support it, and unresolved gaps. Report head-discovery age and failures so an unknown or stale head cannot appear current.</w:t>
      </w:r>
    </w:p>
    <w:p>
      <w:pPr>
        <w:pStyle w:val="BodyText"/>
      </w:pPr>
      <w:r>
        <w:rPr>
          <w:b/>
        </w:rPr>
        <w:t xml:space="preserve">Eligible work and warehouse. </w:t>
      </w:r>
      <w:r>
        <w:t>New eligible work, pending and deferred work, queue occupancy and configured capacity, oldest queued age, admissions and full-queue events. Identify LIVE and REPAIR shares and account for deduplication.</w:t>
      </w:r>
    </w:p>
    <w:p>
      <w:pPr>
        <w:pStyle w:val="BodyText"/>
      </w:pPr>
      <w:r>
        <w:rPr>
          <w:b/>
        </w:rPr>
        <w:t xml:space="preserve">Gate and workers. </w:t>
      </w:r>
      <w:r>
        <w:t>Configured request budget, actual release rate, inter-start spacing, gate utilisation against available release capacity, wait duration and waiting count. Report worker limit, busy and idle counts, in-flight requests and saturation; separate gate wait from provider service time.</w:t>
      </w:r>
    </w:p>
    <w:p>
      <w:pPr>
        <w:pStyle w:val="BodyText"/>
      </w:pPr>
      <w:r>
        <w:rPr>
          <w:b/>
        </w:rPr>
        <w:t xml:space="preserve">Provider service. </w:t>
      </w:r>
      <w:r>
        <w:t>Per source and quota scope, attempts, served responses, refusals, HTTP 429s, other errors, timeouts, retries, fallback use and latency distributions. Define successful service separately from successful verification and durable completion.</w:t>
      </w:r>
    </w:p>
    <w:p>
      <w:pPr>
        <w:pStyle w:val="BodyText"/>
      </w:pPr>
      <w:r>
        <w:rPr>
          <w:b/>
        </w:rPr>
        <w:t xml:space="preserve">Live rate and margin. </w:t>
      </w:r>
      <w:r>
        <w:t>Durable LIVE completion rate and eligible chain production rate over the same window and native coordinate basis; margin is completion rate minus production rate. For slots, separate verified blocks and skipped-slot resolutions. Report distributions and lag excursions, not only means; a positive short-window margin is not a certification result.</w:t>
      </w:r>
    </w:p>
    <w:p>
      <w:pPr>
        <w:pStyle w:val="BodyText"/>
      </w:pPr>
      <w:r>
        <w:rPr>
          <w:b/>
        </w:rPr>
        <w:t xml:space="preserve">Repair. </w:t>
      </w:r>
      <w:r>
        <w:t>Outstanding gaps, oldest unresolved age, attempts, verified repairs, completions, spare capacity consumed, deferrals and yields to LIVE. Attribute frontier advances caused by historical repair separately from live completion.</w:t>
      </w:r>
    </w:p>
    <w:p>
      <w:pPr>
        <w:pStyle w:val="BodyText"/>
      </w:pPr>
      <w:r>
        <w:rPr>
          <w:b/>
        </w:rPr>
        <w:t xml:space="preserve">Freshness and integrity. </w:t>
      </w:r>
      <w:r>
        <w:t>Age of latest verified evidence and last successful durable write, coverage, failed checks, conflicting hashes, duplicate prevention, unresolved slots or blocks, reconciliation events, writer ownership and checkpoint consistency failures.</w:t>
      </w:r>
    </w:p>
    <w:p>
      <w:pPr>
        <w:pStyle w:val="BodyText"/>
      </w:pPr>
      <w:r>
        <w:rPr>
          <w:b/>
        </w:rPr>
        <w:t xml:space="preserve">Downtime. </w:t>
      </w:r>
      <w:r>
        <w:t>Collector, source and storage unavailability with start, end, duration, cause where known, restarts and recovery time. Record telemetry gaps explicitly and distinguish observed chain inactivity from an inability to observe the chain.</w:t>
      </w:r>
    </w:p>
    <w:p>
      <w:pPr>
        <w:pStyle w:val="BodyText"/>
      </w:pPr>
      <w:r>
        <w:t>Operational freshness and downtime feed evidence assessment under the existing registry and confidence rules; they do not independently redefine PII, ERI or VCS. Report native rates with their units and compare networks through the established universal measurement layer.</w:t>
      </w:r>
    </w:p>
    <w:p>
      <w:pPr>
        <w:pStyle w:val="Heading2"/>
        <w:pageBreakBefore/>
      </w:pPr>
      <w:r>
        <w:t>5.13 Per-network tuning and implementation validation</w:t>
      </w:r>
    </w:p>
    <w:p>
      <w:pPr>
        <w:pStyle w:val="BodyText"/>
      </w:pPr>
      <w:r>
        <w:t>Each network uses the same FLOW contract with its own measured warehouse depth, provider gate and worker count. Settings are implementation parameters, versioned by network and provider environment. No experimental Solana queue depth, request rate or worker count is a universal requirement or a production default.</w:t>
      </w:r>
    </w:p>
    <w:p>
      <w:pPr>
        <w:pStyle w:val="BodyText"/>
      </w:pPr>
      <w:r>
        <w:t>Tuning begins with a reproducible baseline and an explicit workload, provider set, software version and observation window. Change one control at a time, then test the chosen combination. Evaluate steady live collection, catch-up, provider slowdown or refusal, restart and repair contention. Record latency and lag distributions, request spacing, refusals, completion rate, chain rate, recovery margin and integrity outcomes.</w:t>
      </w:r>
    </w:p>
    <w:p>
      <w:pPr>
        <w:pStyle w:val="BodyText"/>
      </w:pPr>
      <w:r>
        <w:t>Select settings that sustain LIVE and reduce the size and duration of lag excursions while keeping verification and persistence correct. Demonstrate spare recovery capacity when eligible backlog exists. Near the head, completion rate naturally follows the supply of eligible work, so idle time alone does not prove underperformance. The highest instantaneous request rate is insufficient evidence of the best operating setting.</w:t>
      </w:r>
    </w:p>
    <w:p>
      <w:pPr>
        <w:pStyle w:val="BodyText"/>
      </w:pPr>
      <w:r>
        <w:t>Validation must show that a larger warehouse does not create request bursts, that refusals and HTTP 429s are contained, that worker concurrency remains bounded, and that REPAIR yields without delaying LIVE. Exercise interruptions and out-of-order results to confirm no lost evidence, duplicate facts, incorrect skip resolution or premature frontier advancement. Compare the final configuration with the baseline under comparable conditions.</w:t>
      </w:r>
    </w:p>
    <w:p>
      <w:pPr>
        <w:pStyle w:val="BodyText"/>
      </w:pPr>
      <w:r>
        <w:t>Implementation status must identify what is designed, implemented, tested in isolation, observed in a live experiment and accepted for operation. An isolated pacer test establishes request-spacing behaviour only. Production claims require recorded live evidence of sustainable service, recovery and integrity, together with the applicable review and certification process. Until that evidence establishes the result, the bandwidth-gated architecture remains the contractual design with implementation validation pending.</w:t>
      </w:r>
    </w:p>
    <w:p>
      <w:pPr>
        <w:pStyle w:val="BodyText"/>
      </w:pPr>
      <w:r>
        <w:t>This collection amendment does not require recalculation of historical scores because it changes no metric definition, weight or scoring formula. Any evidence correction discovered during implementation remains subject to the versioned revision policy in Section 6.4 and immutable-history rule in Section 4.8.</w:t>
      </w:r>
    </w:p>
    <w:p>
      <w:pPr>
        <w:pStyle w:val="Heading1"/>
        <w:keepNext w:val="true"/>
        <w:keepLines/>
        <w:widowControl/>
        <w:pBdr>
          <w:bottom w:val="single" w:sz="6" w:space="5" w:color="8AB2BF"/>
        </w:pBdr>
        <w:jc w:val="start"/>
        <w:rPr/>
      </w:pPr>
      <w:bookmarkStart w:id="99" w:name="__RefHeading___Toc8247_528838595"/>
      <w:bookmarkEnd w:id="99"/>
      <w:r>
        <w:rPr/>
        <w:t>6. Data-Source Hierarchy and Provenance</w:t>
      </w:r>
    </w:p>
    <w:p>
      <w:pPr>
        <w:pStyle w:val="Heading2"/>
        <w:keepNext w:val="true"/>
        <w:keepLines/>
        <w:widowControl/>
        <w:rPr/>
      </w:pPr>
      <w:bookmarkStart w:id="100" w:name="__RefHeading___Toc8249_528838595"/>
      <w:bookmarkEnd w:id="100"/>
      <w:r>
        <w:rPr/>
        <w:t>6.1 Source hierarchy</w:t>
      </w:r>
    </w:p>
    <w:p>
      <w:pPr>
        <w:pStyle w:val="Normal"/>
        <w:rPr/>
      </w:pPr>
      <w:r>
        <w:rPr/>
        <w:t>Voxonomics uses a hybrid ingestion system. No single category is sufficient for every network or metric.</w:t>
      </w:r>
    </w:p>
    <w:p>
      <w:pPr>
        <w:pStyle w:val="BodyText"/>
        <w:widowControl/>
        <w:rPr/>
      </w:pPr>
      <w:r>
        <w:rPr/>
        <w:t>The default hierarchy is:</w:t>
      </w:r>
    </w:p>
    <w:p>
      <w:pPr>
        <w:pStyle w:val="Compact"/>
        <w:widowControl/>
        <w:numPr>
          <w:ilvl w:val="0"/>
          <w:numId w:val="843"/>
        </w:numPr>
        <w:rPr/>
      </w:pPr>
      <w:r>
        <w:rPr>
          <w:b/>
          <w:bCs/>
        </w:rPr>
        <w:t>Canonical chain data</w:t>
      </w:r>
      <w:r>
        <w:rPr/>
        <w:t xml:space="preserve"> — archival nodes, RPC methods, state proofs, logs and consensus records.</w:t>
      </w:r>
    </w:p>
    <w:p>
      <w:pPr>
        <w:pStyle w:val="Compact"/>
        <w:widowControl/>
        <w:numPr>
          <w:ilvl w:val="0"/>
          <w:numId w:val="844"/>
        </w:numPr>
        <w:rPr/>
      </w:pPr>
      <w:r>
        <w:rPr>
          <w:b/>
          <w:bCs/>
        </w:rPr>
        <w:t>Open-source deterministic indexers</w:t>
      </w:r>
      <w:r>
        <w:rPr/>
        <w:t xml:space="preserve"> — reproducible indexing software and public datasets.</w:t>
      </w:r>
    </w:p>
    <w:p>
      <w:pPr>
        <w:pStyle w:val="Compact"/>
        <w:widowControl/>
        <w:numPr>
          <w:ilvl w:val="0"/>
          <w:numId w:val="845"/>
        </w:numPr>
        <w:rPr/>
      </w:pPr>
      <w:r>
        <w:rPr>
          <w:b/>
          <w:bCs/>
        </w:rPr>
        <w:t>Protocol and application subgraphs or APIs</w:t>
      </w:r>
      <w:r>
        <w:rPr/>
        <w:t xml:space="preserve"> — used where contract-level semantics require specialised interpretation.</w:t>
      </w:r>
    </w:p>
    <w:p>
      <w:pPr>
        <w:pStyle w:val="Compact"/>
        <w:widowControl/>
        <w:numPr>
          <w:ilvl w:val="0"/>
          <w:numId w:val="846"/>
        </w:numPr>
        <w:rPr/>
      </w:pPr>
      <w:r>
        <w:rPr>
          <w:b/>
          <w:bCs/>
        </w:rPr>
        <w:t>Cross-chain aggregators</w:t>
      </w:r>
      <w:r>
        <w:rPr/>
        <w:t xml:space="preserve"> — used for harmonised DeFi, fee, stablecoin, bridge or market data when methodology is public.</w:t>
      </w:r>
    </w:p>
    <w:p>
      <w:pPr>
        <w:pStyle w:val="Compact"/>
        <w:widowControl/>
        <w:numPr>
          <w:ilvl w:val="0"/>
          <w:numId w:val="847"/>
        </w:numPr>
        <w:rPr/>
      </w:pPr>
      <w:r>
        <w:rPr>
          <w:b/>
          <w:bCs/>
        </w:rPr>
        <w:t>Governance-approved specialist providers</w:t>
      </w:r>
      <w:r>
        <w:rPr/>
        <w:t xml:space="preserve"> — used for difficult historical or security datasets.</w:t>
      </w:r>
    </w:p>
    <w:p>
      <w:pPr>
        <w:pStyle w:val="Compact"/>
        <w:widowControl/>
        <w:numPr>
          <w:ilvl w:val="0"/>
          <w:numId w:val="848"/>
        </w:numPr>
        <w:rPr/>
      </w:pPr>
      <w:r>
        <w:rPr>
          <w:b/>
          <w:bCs/>
        </w:rPr>
        <w:t>Premium analytics</w:t>
      </w:r>
      <w:r>
        <w:rPr/>
        <w:t xml:space="preserve"> — optional corroboration, never the sole inaccessible foundation of a public score.</w:t>
      </w:r>
    </w:p>
    <w:p>
      <w:pPr>
        <w:pStyle w:val="Normal"/>
        <w:rPr/>
      </w:pPr>
      <w:bookmarkStart w:id="101" w:name="source-hierarchy"/>
      <w:r>
        <w:rPr/>
        <w:t>DefiLlama, The Graph, CoinGecko, public explorers, chain-specific RPC interfaces and decentralised oracle networks are examples of components that may serve different parts of this hierarchy [3–8]. Their inclusion is not permanent or exclusive; each source is evaluated against the data standard.</w:t>
      </w:r>
      <w:bookmarkEnd w:id="101"/>
    </w:p>
    <w:p>
      <w:pPr>
        <w:pStyle w:val="Heading2"/>
        <w:keepNext w:val="true"/>
        <w:keepLines/>
        <w:widowControl/>
        <w:rPr/>
      </w:pPr>
      <w:bookmarkStart w:id="102" w:name="__RefHeading___Toc8251_528838595"/>
      <w:bookmarkEnd w:id="102"/>
      <w:r>
        <w:rPr/>
        <w:t>6.2 Source independence</w:t>
      </w:r>
    </w:p>
    <w:p>
      <w:pPr>
        <w:pStyle w:val="Normal"/>
        <w:rPr/>
      </w:pPr>
      <w:r>
        <w:rPr/>
        <w:t>Multiple API endpoints do not necessarily represent independent evidence. Two providers may copy the same upstream index. The framework therefore distinguishes:</w:t>
      </w:r>
    </w:p>
    <w:p>
      <w:pPr>
        <w:pStyle w:val="Compact"/>
        <w:widowControl/>
        <w:numPr>
          <w:ilvl w:val="0"/>
          <w:numId w:val="849"/>
        </w:numPr>
        <w:rPr/>
      </w:pPr>
      <w:r>
        <w:rPr>
          <w:b/>
          <w:bCs/>
        </w:rPr>
        <w:t>transport redundancy</w:t>
      </w:r>
      <w:r>
        <w:rPr/>
        <w:t xml:space="preserve"> — multiple endpoints serving the same underlying data;</w:t>
      </w:r>
    </w:p>
    <w:p>
      <w:pPr>
        <w:pStyle w:val="Compact"/>
        <w:widowControl/>
        <w:numPr>
          <w:ilvl w:val="0"/>
          <w:numId w:val="850"/>
        </w:numPr>
        <w:rPr/>
      </w:pPr>
      <w:r>
        <w:rPr>
          <w:b/>
          <w:bCs/>
        </w:rPr>
        <w:t>methodological independence</w:t>
      </w:r>
      <w:r>
        <w:rPr/>
        <w:t xml:space="preserve"> — independently generated datasets or calculations;</w:t>
      </w:r>
    </w:p>
    <w:p>
      <w:pPr>
        <w:pStyle w:val="Compact"/>
        <w:widowControl/>
        <w:numPr>
          <w:ilvl w:val="0"/>
          <w:numId w:val="851"/>
        </w:numPr>
        <w:rPr/>
      </w:pPr>
      <w:r>
        <w:rPr>
          <w:b/>
          <w:bCs/>
        </w:rPr>
        <w:t>cryptographic verifiability</w:t>
      </w:r>
      <w:r>
        <w:rPr/>
        <w:t xml:space="preserve"> — observations that can be proven directly against chain state.</w:t>
      </w:r>
    </w:p>
    <w:p>
      <w:pPr>
        <w:pStyle w:val="Normal"/>
        <w:rPr/>
      </w:pPr>
      <w:bookmarkStart w:id="103" w:name="source-independence"/>
      <w:r>
        <w:rPr/>
        <w:t>For critical metrics, confidence increases when observations are both independently generated and cryptographically or deterministically verifiable.</w:t>
      </w:r>
      <w:bookmarkEnd w:id="103"/>
    </w:p>
    <w:p>
      <w:pPr>
        <w:pStyle w:val="Heading2"/>
        <w:keepNext w:val="true"/>
        <w:keepLines/>
        <w:widowControl/>
        <w:rPr/>
      </w:pPr>
      <w:bookmarkStart w:id="104" w:name="__RefHeading___Toc8253_528838595"/>
      <w:bookmarkEnd w:id="104"/>
      <w:r>
        <w:rPr/>
        <w:t>6.3 Provenance record</w:t>
      </w:r>
    </w:p>
    <w:p>
      <w:pPr>
        <w:pStyle w:val="Normal"/>
        <w:rPr/>
      </w:pPr>
      <w:r>
        <w:rPr/>
        <w:t>Every stored observation must carry a provenance record:</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Field</w:t>
            </w:r>
          </w:p>
        </w:tc>
        <w:tc>
          <w:tcPr>
            <w:tcW w:w="481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Requirement</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network_id</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Canonical identifier and chain ID where applicable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metric_id</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Versioned canonical submetric identifier</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period_start, period_end</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Exact observation window</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block_start, block_end</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Block bounds when available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source_id</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Provider, node, indexer or contract source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query_hash</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Hash of extraction query or code version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raw_value</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Unmodified observation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unit</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Explicit unit and decimal convention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transform_version</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Version of post-processing logic</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retrieved_at</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Timestamp of acquisition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quality_flags</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Missing, estimated, revised, disputed or anomalous status</w:t>
            </w:r>
            <w:bookmarkStart w:id="105" w:name="provenance-record"/>
            <w:bookmarkEnd w:id="105"/>
          </w:p>
        </w:tc>
      </w:tr>
    </w:tbl>
    <w:p>
      <w:pPr>
        <w:pStyle w:val="Heading2"/>
        <w:keepNext w:val="true"/>
        <w:keepLines/>
        <w:widowControl/>
        <w:rPr/>
      </w:pPr>
      <w:bookmarkStart w:id="106" w:name="__RefHeading___Toc8255_528838595"/>
      <w:bookmarkEnd w:id="106"/>
      <w:r>
        <w:rPr/>
        <w:t>6.4 Revision policy</w:t>
      </w:r>
    </w:p>
    <w:p>
      <w:pPr>
        <w:pStyle w:val="Normal"/>
        <w:rPr/>
      </w:pPr>
      <w:r>
        <w:rPr/>
        <w:t>Some datasets revise historical values because of improved labelling, chain reorganisations, contract classification or data-provider corrections. Voxonomics records revisions as new observation versions. It never overwrites the prior value without trace.</w:t>
      </w:r>
    </w:p>
    <w:p>
      <w:pPr>
        <w:pStyle w:val="BodyText"/>
        <w:widowControl/>
        <w:rPr/>
      </w:pPr>
      <w:r>
        <w:rPr/>
        <w:t>A revised value must show:</w:t>
      </w:r>
    </w:p>
    <w:p>
      <w:pPr>
        <w:pStyle w:val="Compact"/>
        <w:widowControl/>
        <w:numPr>
          <w:ilvl w:val="0"/>
          <w:numId w:val="852"/>
        </w:numPr>
        <w:rPr/>
      </w:pPr>
      <w:r>
        <w:rPr/>
        <w:t>prior and new value;</w:t>
      </w:r>
    </w:p>
    <w:p>
      <w:pPr>
        <w:pStyle w:val="Compact"/>
        <w:widowControl/>
        <w:numPr>
          <w:ilvl w:val="0"/>
          <w:numId w:val="853"/>
        </w:numPr>
        <w:rPr/>
      </w:pPr>
      <w:r>
        <w:rPr/>
        <w:t>reason for revision;</w:t>
      </w:r>
    </w:p>
    <w:p>
      <w:pPr>
        <w:pStyle w:val="Compact"/>
        <w:widowControl/>
        <w:numPr>
          <w:ilvl w:val="0"/>
          <w:numId w:val="854"/>
        </w:numPr>
        <w:rPr/>
      </w:pPr>
      <w:r>
        <w:rPr/>
        <w:t>affected dates and networks;</w:t>
      </w:r>
    </w:p>
    <w:p>
      <w:pPr>
        <w:pStyle w:val="Compact"/>
        <w:widowControl/>
        <w:numPr>
          <w:ilvl w:val="0"/>
          <w:numId w:val="855"/>
        </w:numPr>
        <w:rPr/>
      </w:pPr>
      <w:r>
        <w:rPr/>
        <w:t>source or adapter version;</w:t>
      </w:r>
    </w:p>
    <w:p>
      <w:pPr>
        <w:pStyle w:val="Compact"/>
        <w:widowControl/>
        <w:numPr>
          <w:ilvl w:val="0"/>
          <w:numId w:val="856"/>
        </w:numPr>
        <w:rPr/>
      </w:pPr>
      <w:r>
        <w:rPr/>
        <w:t>effect on parent indices and headline outputs.</w:t>
      </w:r>
    </w:p>
    <w:p>
      <w:pPr>
        <w:pStyle w:val="Heading2"/>
        <w:keepNext w:val="true"/>
        <w:keepLines/>
        <w:widowControl/>
        <w:rPr/>
      </w:pPr>
      <w:bookmarkStart w:id="107" w:name="__RefHeading___Toc8257_528838595"/>
      <w:bookmarkEnd w:id="107"/>
      <w:r>
        <w:rPr/>
        <w:t>6.5 Data freshness</w:t>
      </w:r>
    </w:p>
    <w:p>
      <w:pPr>
        <w:pStyle w:val="Normal"/>
        <w:rPr/>
      </w:pPr>
      <w:r>
        <w:rPr/>
        <w:t>Freshness requirements depend on the metric:</w:t>
      </w:r>
    </w:p>
    <w:p>
      <w:pPr>
        <w:pStyle w:val="Compact"/>
        <w:widowControl/>
        <w:numPr>
          <w:ilvl w:val="0"/>
          <w:numId w:val="857"/>
        </w:numPr>
        <w:rPr/>
      </w:pPr>
      <w:r>
        <w:rPr/>
        <w:t>execution, liquidity and activity metrics may update daily or more frequently;</w:t>
      </w:r>
    </w:p>
    <w:p>
      <w:pPr>
        <w:pStyle w:val="Compact"/>
        <w:widowControl/>
        <w:numPr>
          <w:ilvl w:val="0"/>
          <w:numId w:val="858"/>
        </w:numPr>
        <w:rPr/>
      </w:pPr>
      <w:r>
        <w:rPr/>
        <w:t>developer and governance metrics may update weekly;</w:t>
      </w:r>
    </w:p>
    <w:p>
      <w:pPr>
        <w:pStyle w:val="Compact"/>
        <w:widowControl/>
        <w:numPr>
          <w:ilvl w:val="0"/>
          <w:numId w:val="859"/>
        </w:numPr>
        <w:rPr/>
      </w:pPr>
      <w:r>
        <w:rPr/>
        <w:t>security and decentralisation classifications may update after material events;</w:t>
      </w:r>
    </w:p>
    <w:p>
      <w:pPr>
        <w:pStyle w:val="Compact"/>
        <w:widowControl/>
        <w:numPr>
          <w:ilvl w:val="0"/>
          <w:numId w:val="860"/>
        </w:numPr>
        <w:rPr/>
      </w:pPr>
      <w:r>
        <w:rPr/>
        <w:t>resilience metrics require longer windows and may update monthly;</w:t>
      </w:r>
    </w:p>
    <w:p>
      <w:pPr>
        <w:pStyle w:val="Compact"/>
        <w:widowControl/>
        <w:numPr>
          <w:ilvl w:val="0"/>
          <w:numId w:val="861"/>
        </w:numPr>
        <w:rPr/>
      </w:pPr>
      <w:r>
        <w:rPr/>
        <w:t>market-recognition inputs may update daily but use smoothing to avoid noise.</w:t>
      </w:r>
    </w:p>
    <w:p>
      <w:pPr>
        <w:pStyle w:val="Normal"/>
        <w:rPr/>
      </w:pPr>
      <w:bookmarkStart w:id="108" w:name="data-freshness"/>
      <w:r>
        <w:rPr/>
        <w:t>VCS penalises stale data according to a metric-specific service-level objective.</w:t>
      </w:r>
      <w:bookmarkEnd w:id="108"/>
    </w:p>
    <w:p>
      <w:pPr>
        <w:pStyle w:val="Heading2"/>
        <w:keepNext w:val="true"/>
        <w:keepLines/>
        <w:widowControl/>
        <w:rPr/>
      </w:pPr>
      <w:bookmarkStart w:id="109" w:name="__RefHeading___Toc8259_528838595"/>
      <w:bookmarkEnd w:id="109"/>
      <w:r>
        <w:rPr/>
        <w:t>6.6 Data exclusions</w:t>
      </w:r>
    </w:p>
    <w:p>
      <w:pPr>
        <w:pStyle w:val="Normal"/>
        <w:rPr/>
      </w:pPr>
      <w:r>
        <w:rPr/>
        <w:t>The framework excludes data that cannot be reconciled with the canonical definition. Examples include unlabelled internal transfers counted as economic settlement, circular self-trading, duplicated TVL, bridged assets counted on both origin and destination without clear scope, and nominal revenue that is entirely offset by token incentives.</w:t>
      </w:r>
    </w:p>
    <w:p>
      <w:pPr>
        <w:pStyle w:val="BodyText"/>
        <w:widowControl/>
        <w:rPr/>
      </w:pPr>
      <w:bookmarkStart w:id="110" w:name="data-source-hierarchy-and-provenance"/>
      <w:bookmarkStart w:id="111" w:name="data-exclusions"/>
      <w:r>
        <w:rPr/>
        <w:t>Exclusions must be rule-based and published. Analysts cannot remove inconvenient observations selectively.</w:t>
      </w:r>
      <w:bookmarkEnd w:id="110"/>
      <w:bookmarkEnd w:id="111"/>
    </w:p>
    <w:p>
      <w:pPr>
        <w:pStyle w:val="Heading1"/>
        <w:keepNext w:val="true"/>
        <w:keepLines/>
        <w:widowControl/>
        <w:pBdr>
          <w:bottom w:val="single" w:sz="6" w:space="5" w:color="8AB2BF"/>
        </w:pBdr>
        <w:jc w:val="start"/>
        <w:rPr/>
      </w:pPr>
      <w:bookmarkStart w:id="112" w:name="__RefHeading___Toc8261_528838595"/>
      <w:bookmarkEnd w:id="112"/>
      <w:r>
        <w:rPr/>
        <w:t>7. Universal Definitions and Chain-Specific Adapters</w:t>
      </w:r>
    </w:p>
    <w:p>
      <w:pPr>
        <w:pStyle w:val="Heading2"/>
        <w:keepNext w:val="true"/>
        <w:keepLines/>
        <w:widowControl/>
        <w:rPr/>
      </w:pPr>
      <w:bookmarkStart w:id="113" w:name="__RefHeading___Toc8263_528838595"/>
      <w:bookmarkEnd w:id="113"/>
      <w:r>
        <w:rPr/>
        <w:t>7.1 The universality principle</w:t>
      </w:r>
    </w:p>
    <w:p>
      <w:pPr>
        <w:pStyle w:val="Normal"/>
        <w:rPr/>
      </w:pPr>
      <w:r>
        <w:rPr/>
        <w:t>Universality applies to economic meaning, not identical database fields. Each canonical submetric contains:</w:t>
      </w:r>
    </w:p>
    <w:p>
      <w:pPr>
        <w:pStyle w:val="Compact"/>
        <w:widowControl/>
        <w:numPr>
          <w:ilvl w:val="0"/>
          <w:numId w:val="862"/>
        </w:numPr>
        <w:rPr/>
      </w:pPr>
      <w:r>
        <w:rPr/>
        <w:t>an economic definition;</w:t>
      </w:r>
    </w:p>
    <w:p>
      <w:pPr>
        <w:pStyle w:val="Compact"/>
        <w:widowControl/>
        <w:numPr>
          <w:ilvl w:val="0"/>
          <w:numId w:val="863"/>
        </w:numPr>
        <w:rPr/>
      </w:pPr>
      <w:r>
        <w:rPr/>
        <w:t>inclusion and exclusion rules;</w:t>
      </w:r>
    </w:p>
    <w:p>
      <w:pPr>
        <w:pStyle w:val="Compact"/>
        <w:widowControl/>
        <w:numPr>
          <w:ilvl w:val="0"/>
          <w:numId w:val="864"/>
        </w:numPr>
        <w:rPr/>
      </w:pPr>
      <w:r>
        <w:rPr/>
        <w:t>a preferred observation method;</w:t>
      </w:r>
    </w:p>
    <w:p>
      <w:pPr>
        <w:pStyle w:val="Compact"/>
        <w:widowControl/>
        <w:numPr>
          <w:ilvl w:val="0"/>
          <w:numId w:val="865"/>
        </w:numPr>
        <w:rPr/>
      </w:pPr>
      <w:r>
        <w:rPr/>
        <w:t>acceptable adapter variants;</w:t>
      </w:r>
    </w:p>
    <w:p>
      <w:pPr>
        <w:pStyle w:val="Compact"/>
        <w:widowControl/>
        <w:numPr>
          <w:ilvl w:val="0"/>
          <w:numId w:val="866"/>
        </w:numPr>
        <w:rPr/>
      </w:pPr>
      <w:r>
        <w:rPr/>
        <w:t>directionality;</w:t>
      </w:r>
    </w:p>
    <w:p>
      <w:pPr>
        <w:pStyle w:val="Compact"/>
        <w:widowControl/>
        <w:numPr>
          <w:ilvl w:val="0"/>
          <w:numId w:val="867"/>
        </w:numPr>
        <w:rPr/>
      </w:pPr>
      <w:r>
        <w:rPr/>
        <w:t>update frequency;</w:t>
      </w:r>
    </w:p>
    <w:p>
      <w:pPr>
        <w:pStyle w:val="Compact"/>
        <w:widowControl/>
        <w:numPr>
          <w:ilvl w:val="0"/>
          <w:numId w:val="868"/>
        </w:numPr>
        <w:rPr/>
      </w:pPr>
      <w:r>
        <w:rPr/>
        <w:t>minimum history;</w:t>
      </w:r>
    </w:p>
    <w:p>
      <w:pPr>
        <w:pStyle w:val="Compact"/>
        <w:widowControl/>
        <w:numPr>
          <w:ilvl w:val="0"/>
          <w:numId w:val="869"/>
        </w:numPr>
        <w:rPr/>
      </w:pPr>
      <w:bookmarkStart w:id="114" w:name="the-universality-principle"/>
      <w:r>
        <w:rPr/>
        <w:t>confidence requirements.</w:t>
      </w:r>
      <w:bookmarkEnd w:id="114"/>
    </w:p>
    <w:p>
      <w:pPr>
        <w:pStyle w:val="Heading2"/>
        <w:keepNext w:val="true"/>
        <w:keepLines/>
        <w:widowControl/>
        <w:rPr/>
      </w:pPr>
      <w:bookmarkStart w:id="115" w:name="__RefHeading___Toc8265_528838595"/>
      <w:bookmarkEnd w:id="115"/>
      <w:r>
        <w:rPr/>
        <w:t>7.2 Architecture classes</w:t>
      </w:r>
    </w:p>
    <w:p>
      <w:pPr>
        <w:pStyle w:val="Normal"/>
        <w:rPr/>
      </w:pPr>
      <w:r>
        <w:rPr/>
        <w:t>Adapters may classify networks by architecture for implementation purposes:</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Architecture</w:t>
            </w:r>
          </w:p>
        </w:tc>
        <w:tc>
          <w:tcPr>
            <w:tcW w:w="481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Typical evidence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Proof-of-work base layer</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Blocks, hash power or work proxies, mining-pool distribution, node history, fees and settlement</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Proof-of-stake base layer</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Validator set, stake distribution, delegation, slashing, finality, governance and fees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Rollup or layer two</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Sequencer operation, proof system, bridge contracts, forced inclusion or escape path, inherited settlement security</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Application chain</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Application-specific transactions, validator or sequencer structure, economic output and external settlement</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Modular component</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Data availability, shared security, settlement or interoperability service usage</w:t>
            </w:r>
          </w:p>
        </w:tc>
      </w:tr>
    </w:tbl>
    <w:p>
      <w:pPr>
        <w:pStyle w:val="BodyText"/>
        <w:widowControl/>
        <w:rPr/>
      </w:pPr>
      <w:bookmarkStart w:id="116" w:name="architecture-classes"/>
      <w:r>
        <w:rPr/>
        <w:t>Classification affects extraction, not the six-index weights.</w:t>
      </w:r>
      <w:bookmarkEnd w:id="116"/>
    </w:p>
    <w:p>
      <w:pPr>
        <w:pStyle w:val="Heading2"/>
        <w:keepNext w:val="true"/>
        <w:keepLines/>
        <w:widowControl/>
        <w:rPr/>
      </w:pPr>
      <w:bookmarkStart w:id="117" w:name="__RefHeading___Toc8267_528838595"/>
      <w:bookmarkEnd w:id="117"/>
      <w:r>
        <w:rPr/>
        <w:t>7.3 Canonical network scope</w:t>
      </w:r>
    </w:p>
    <w:p>
      <w:pPr>
        <w:pStyle w:val="Normal"/>
        <w:rPr/>
      </w:pPr>
      <w:r>
        <w:rPr/>
        <w:t>A common source of double counting is unclear scope. Voxonomics defines one canonical measurement object for each publication:</w:t>
      </w:r>
    </w:p>
    <w:p>
      <w:pPr>
        <w:pStyle w:val="Compact"/>
        <w:widowControl/>
        <w:numPr>
          <w:ilvl w:val="0"/>
          <w:numId w:val="870"/>
        </w:numPr>
        <w:rPr/>
      </w:pPr>
      <w:r>
        <w:rPr/>
        <w:t>a base layer excludes activity that occurs entirely on an independent execution layer unless it settles economically back to the base layer under a defined rule;</w:t>
      </w:r>
    </w:p>
    <w:p>
      <w:pPr>
        <w:pStyle w:val="Compact"/>
        <w:widowControl/>
        <w:numPr>
          <w:ilvl w:val="0"/>
          <w:numId w:val="871"/>
        </w:numPr>
        <w:rPr/>
      </w:pPr>
      <w:r>
        <w:rPr/>
        <w:t>a rollup includes its own execution activity but discloses inherited security and settlement dependencies;</w:t>
      </w:r>
    </w:p>
    <w:p>
      <w:pPr>
        <w:pStyle w:val="Compact"/>
        <w:widowControl/>
        <w:numPr>
          <w:ilvl w:val="0"/>
          <w:numId w:val="872"/>
        </w:numPr>
        <w:rPr/>
      </w:pPr>
      <w:r>
        <w:rPr/>
        <w:t>an ecosystem aggregation may be published separately, but cannot be compared with a single chain without an explicit scope label;</w:t>
      </w:r>
    </w:p>
    <w:p>
      <w:pPr>
        <w:pStyle w:val="Compact"/>
        <w:widowControl/>
        <w:numPr>
          <w:ilvl w:val="0"/>
          <w:numId w:val="873"/>
        </w:numPr>
        <w:rPr/>
      </w:pPr>
      <w:bookmarkStart w:id="118" w:name="canonical-network-scope"/>
      <w:r>
        <w:rPr/>
        <w:t>wrapped or bridged representations are attributed according to the metric definition and may not be counted twice.</w:t>
      </w:r>
      <w:bookmarkEnd w:id="118"/>
    </w:p>
    <w:p>
      <w:pPr>
        <w:pStyle w:val="Heading2"/>
        <w:keepNext w:val="true"/>
        <w:keepLines/>
        <w:widowControl/>
        <w:rPr/>
      </w:pPr>
      <w:bookmarkStart w:id="119" w:name="__RefHeading___Toc8269_528838595"/>
      <w:bookmarkEnd w:id="119"/>
      <w:r>
        <w:rPr/>
        <w:t>7.4 Adapter certification states</w:t>
      </w:r>
    </w:p>
    <w:p>
      <w:pPr>
        <w:pStyle w:val="Normal"/>
        <w:rPr/>
      </w:pPr>
      <w:r>
        <w:rPr/>
        <w:t>Adapters progress through four states:</w:t>
      </w:r>
    </w:p>
    <w:p>
      <w:pPr>
        <w:pStyle w:val="Compact"/>
        <w:widowControl/>
        <w:numPr>
          <w:ilvl w:val="0"/>
          <w:numId w:val="874"/>
        </w:numPr>
        <w:rPr/>
      </w:pPr>
      <w:r>
        <w:rPr>
          <w:b/>
          <w:bCs/>
        </w:rPr>
        <w:t>Experimental</w:t>
      </w:r>
      <w:r>
        <w:rPr/>
        <w:t xml:space="preserve"> — incomplete tests or limited history.</w:t>
      </w:r>
    </w:p>
    <w:p>
      <w:pPr>
        <w:pStyle w:val="Compact"/>
        <w:widowControl/>
        <w:numPr>
          <w:ilvl w:val="0"/>
          <w:numId w:val="875"/>
        </w:numPr>
        <w:rPr/>
      </w:pPr>
      <w:r>
        <w:rPr>
          <w:b/>
          <w:bCs/>
        </w:rPr>
        <w:t>Provisional</w:t>
      </w:r>
      <w:r>
        <w:rPr/>
        <w:t xml:space="preserve"> — core metrics implemented; open review and reconciliation active.</w:t>
      </w:r>
    </w:p>
    <w:p>
      <w:pPr>
        <w:pStyle w:val="Compact"/>
        <w:widowControl/>
        <w:numPr>
          <w:ilvl w:val="0"/>
          <w:numId w:val="876"/>
        </w:numPr>
        <w:rPr/>
      </w:pPr>
      <w:r>
        <w:rPr>
          <w:b/>
          <w:bCs/>
        </w:rPr>
        <w:t>Certified</w:t>
      </w:r>
      <w:r>
        <w:rPr/>
        <w:t xml:space="preserve"> — full tests, reproducibility, coverage and governance approval.</w:t>
      </w:r>
    </w:p>
    <w:p>
      <w:pPr>
        <w:pStyle w:val="Compact"/>
        <w:widowControl/>
        <w:numPr>
          <w:ilvl w:val="0"/>
          <w:numId w:val="877"/>
        </w:numPr>
        <w:rPr/>
      </w:pPr>
      <w:r>
        <w:rPr>
          <w:b/>
          <w:bCs/>
        </w:rPr>
        <w:t>Suspended</w:t>
      </w:r>
      <w:r>
        <w:rPr/>
        <w:t xml:space="preserve"> — material defect, stale dependency or unresolved dispute.</w:t>
      </w:r>
    </w:p>
    <w:p>
      <w:pPr>
        <w:pStyle w:val="Normal"/>
        <w:rPr/>
      </w:pPr>
      <w:bookmarkStart w:id="120" w:name="adapter-certification-states"/>
      <w:r>
        <w:rPr/>
        <w:t>A network may have an experimental public estimate without an official VTS.</w:t>
      </w:r>
      <w:bookmarkEnd w:id="120"/>
    </w:p>
    <w:p>
      <w:pPr>
        <w:pStyle w:val="Heading2"/>
        <w:keepNext w:val="true"/>
        <w:keepLines/>
        <w:widowControl/>
        <w:rPr/>
      </w:pPr>
      <w:bookmarkStart w:id="121" w:name="__RefHeading___Toc8271_528838595"/>
      <w:bookmarkEnd w:id="121"/>
      <w:r>
        <w:rPr/>
        <w:t>7.5 Adapter equivalence tests</w:t>
      </w:r>
    </w:p>
    <w:p>
      <w:pPr>
        <w:pStyle w:val="Normal"/>
        <w:rPr/>
      </w:pPr>
      <w:r>
        <w:rPr/>
        <w:t>Where multiple adapters implement the same metric, they must be tested against shared fixtures. Equivalence is assessed through:</w:t>
      </w:r>
    </w:p>
    <w:p>
      <w:pPr>
        <w:pStyle w:val="Compact"/>
        <w:widowControl/>
        <w:numPr>
          <w:ilvl w:val="0"/>
          <w:numId w:val="878"/>
        </w:numPr>
        <w:rPr/>
      </w:pPr>
      <w:r>
        <w:rPr/>
        <w:t>exact agreement for deterministic observations;</w:t>
      </w:r>
    </w:p>
    <w:p>
      <w:pPr>
        <w:pStyle w:val="Compact"/>
        <w:widowControl/>
        <w:numPr>
          <w:ilvl w:val="0"/>
          <w:numId w:val="879"/>
        </w:numPr>
        <w:rPr/>
      </w:pPr>
      <w:r>
        <w:rPr/>
        <w:t>tolerance bands for estimated or labelled datasets;</w:t>
      </w:r>
    </w:p>
    <w:p>
      <w:pPr>
        <w:pStyle w:val="Compact"/>
        <w:widowControl/>
        <w:numPr>
          <w:ilvl w:val="0"/>
          <w:numId w:val="880"/>
        </w:numPr>
        <w:rPr/>
      </w:pPr>
      <w:r>
        <w:rPr/>
        <w:t>known-event tests;</w:t>
      </w:r>
    </w:p>
    <w:p>
      <w:pPr>
        <w:pStyle w:val="Compact"/>
        <w:widowControl/>
        <w:numPr>
          <w:ilvl w:val="0"/>
          <w:numId w:val="881"/>
        </w:numPr>
        <w:rPr/>
      </w:pPr>
      <w:r>
        <w:rPr/>
        <w:t>cross-provider reconciliation;</w:t>
      </w:r>
    </w:p>
    <w:p>
      <w:pPr>
        <w:pStyle w:val="Compact"/>
        <w:widowControl/>
        <w:numPr>
          <w:ilvl w:val="0"/>
          <w:numId w:val="882"/>
        </w:numPr>
        <w:rPr/>
      </w:pPr>
      <w:r>
        <w:rPr/>
        <w:t>historical regression tests;</w:t>
      </w:r>
    </w:p>
    <w:p>
      <w:pPr>
        <w:pStyle w:val="Compact"/>
        <w:widowControl/>
        <w:numPr>
          <w:ilvl w:val="0"/>
          <w:numId w:val="883"/>
        </w:numPr>
        <w:rPr/>
      </w:pPr>
      <w:bookmarkStart w:id="122" w:name="adapter-equivalence-tests"/>
      <w:r>
        <w:rPr/>
        <w:t>failure and fallback behaviour.</w:t>
      </w:r>
      <w:bookmarkEnd w:id="122"/>
    </w:p>
    <w:p>
      <w:pPr>
        <w:pStyle w:val="Heading2"/>
        <w:keepNext w:val="true"/>
        <w:keepLines/>
        <w:widowControl/>
        <w:rPr/>
      </w:pPr>
      <w:bookmarkStart w:id="123" w:name="__RefHeading___Toc8273_528838595"/>
      <w:bookmarkEnd w:id="123"/>
      <w:r>
        <w:rPr/>
        <w:t>7.6 Privacy-preserving networks</w:t>
      </w:r>
    </w:p>
    <w:p>
      <w:pPr>
        <w:pStyle w:val="Normal"/>
        <w:rPr/>
      </w:pPr>
      <w:r>
        <w:rPr/>
        <w:t>A privacy-preserving network may expose less granular evidence by design. Voxonomics does not penalise privacy itself. It distinguishes between:</w:t>
      </w:r>
    </w:p>
    <w:p>
      <w:pPr>
        <w:pStyle w:val="Compact"/>
        <w:widowControl/>
        <w:numPr>
          <w:ilvl w:val="0"/>
          <w:numId w:val="884"/>
        </w:numPr>
        <w:rPr/>
      </w:pPr>
      <w:r>
        <w:rPr/>
        <w:t>verifiable aggregate evidence;</w:t>
      </w:r>
    </w:p>
    <w:p>
      <w:pPr>
        <w:pStyle w:val="Compact"/>
        <w:widowControl/>
        <w:numPr>
          <w:ilvl w:val="0"/>
          <w:numId w:val="885"/>
        </w:numPr>
        <w:rPr/>
      </w:pPr>
      <w:r>
        <w:rPr/>
        <w:t>unavailable evidence;</w:t>
      </w:r>
    </w:p>
    <w:p>
      <w:pPr>
        <w:pStyle w:val="Compact"/>
        <w:widowControl/>
        <w:numPr>
          <w:ilvl w:val="0"/>
          <w:numId w:val="886"/>
        </w:numPr>
        <w:rPr/>
      </w:pPr>
      <w:r>
        <w:rPr/>
        <w:t>evidence that requires trusted disclosure.</w:t>
      </w:r>
    </w:p>
    <w:p>
      <w:pPr>
        <w:pStyle w:val="Normal"/>
        <w:rPr/>
      </w:pPr>
      <w:bookmarkStart w:id="124" w:name="X154de1d21b5136b2a05d013eb8c8001bede1029"/>
      <w:bookmarkStart w:id="125" w:name="privacy-preserving-networks"/>
      <w:r>
        <w:rPr/>
        <w:t>Zero-knowledge proofs, auditable aggregate commitments and transparent supply proofs may support high confidence without exposing individual users. When economic activity cannot be verified at all, confidence and relevant index coverage decline.</w:t>
      </w:r>
      <w:bookmarkEnd w:id="124"/>
      <w:bookmarkEnd w:id="125"/>
    </w:p>
    <w:p>
      <w:pPr>
        <w:pStyle w:val="Heading1"/>
        <w:keepNext w:val="true"/>
        <w:keepLines/>
        <w:widowControl/>
        <w:pBdr>
          <w:bottom w:val="single" w:sz="6" w:space="5" w:color="8AB2BF"/>
        </w:pBdr>
        <w:jc w:val="start"/>
        <w:rPr/>
      </w:pPr>
      <w:bookmarkStart w:id="126" w:name="__RefHeading___Toc8275_528838595"/>
      <w:bookmarkEnd w:id="126"/>
      <w:r>
        <w:rPr/>
        <w:t>8. Normalisation, Directionality and Smoothing</w:t>
      </w:r>
    </w:p>
    <w:p>
      <w:pPr>
        <w:pStyle w:val="Heading2"/>
        <w:keepNext w:val="true"/>
        <w:keepLines/>
        <w:widowControl/>
        <w:rPr/>
      </w:pPr>
      <w:bookmarkStart w:id="127" w:name="__RefHeading___Toc8277_528838595"/>
      <w:bookmarkEnd w:id="127"/>
      <w:r>
        <w:rPr/>
        <w:t>8.1 Why simple min-max normalisation is insufficient</w:t>
      </w:r>
    </w:p>
    <w:p>
      <w:pPr>
        <w:pStyle w:val="Normal"/>
        <w:rPr/>
      </w:pPr>
      <w:r>
        <w:rPr/>
        <w:t>Ordinary min-max normalisation is highly sensitive to outliers, changing network populations and temporary extremes. If one network reports an anomalous value, every other score can move even though their own performance did not change. It also makes historical comparisons unstable when the minimum or maximum changes.</w:t>
      </w:r>
    </w:p>
    <w:p>
      <w:pPr>
        <w:pStyle w:val="BodyText"/>
        <w:widowControl/>
        <w:rPr/>
      </w:pPr>
      <w:bookmarkStart w:id="128" w:name="Xd9ef97675a3794222a1065e2c62444df9685a80"/>
      <w:r>
        <w:rPr/>
        <w:t>Voxonomics therefore uses versioned robust benchmarks rather than unconstrained live minimum and maximum values.</w:t>
      </w:r>
      <w:bookmarkEnd w:id="128"/>
    </w:p>
    <w:p>
      <w:pPr>
        <w:pStyle w:val="Heading2"/>
        <w:keepNext w:val="true"/>
        <w:keepLines/>
        <w:widowControl/>
        <w:rPr/>
      </w:pPr>
      <w:bookmarkStart w:id="129" w:name="__RefHeading___Toc8279_528838595"/>
      <w:bookmarkEnd w:id="129"/>
      <w:r>
        <w:rPr/>
        <w:t>8.2 Transformation pipeline</w:t>
      </w:r>
    </w:p>
    <w:p>
      <w:pPr>
        <w:pStyle w:val="Normal"/>
        <w:rPr/>
      </w:pPr>
      <w:r>
        <w:rPr/>
        <w:t>For raw observation x, the canonical pipeline is:</w:t>
      </w:r>
    </w:p>
    <w:p>
      <w:pPr>
        <w:pStyle w:val="Compact"/>
        <w:widowControl/>
        <w:numPr>
          <w:ilvl w:val="0"/>
          <w:numId w:val="887"/>
        </w:numPr>
        <w:rPr/>
      </w:pPr>
      <w:r>
        <w:rPr/>
        <w:t>validate units and scope;</w:t>
      </w:r>
    </w:p>
    <w:p>
      <w:pPr>
        <w:pStyle w:val="Compact"/>
        <w:widowControl/>
        <w:numPr>
          <w:ilvl w:val="0"/>
          <w:numId w:val="888"/>
        </w:numPr>
        <w:rPr/>
      </w:pPr>
      <w:r>
        <w:rPr/>
        <w:t>apply an economic transformation T(x), such as logarithmic scaling or per-user adjustment;</w:t>
      </w:r>
    </w:p>
    <w:p>
      <w:pPr>
        <w:pStyle w:val="Compact"/>
        <w:widowControl/>
        <w:numPr>
          <w:ilvl w:val="0"/>
          <w:numId w:val="889"/>
        </w:numPr>
        <w:rPr/>
      </w:pPr>
      <w:r>
        <w:rPr/>
        <w:t>apply directionality;</w:t>
      </w:r>
    </w:p>
    <w:p>
      <w:pPr>
        <w:pStyle w:val="Compact"/>
        <w:widowControl/>
        <w:numPr>
          <w:ilvl w:val="0"/>
          <w:numId w:val="890"/>
        </w:numPr>
        <w:rPr/>
      </w:pPr>
      <w:r>
        <w:rPr/>
        <w:t>compare with a benchmark distribution;</w:t>
      </w:r>
    </w:p>
    <w:p>
      <w:pPr>
        <w:pStyle w:val="Compact"/>
        <w:widowControl/>
        <w:numPr>
          <w:ilvl w:val="0"/>
          <w:numId w:val="891"/>
        </w:numPr>
        <w:rPr/>
      </w:pPr>
      <w:r>
        <w:rPr/>
        <w:t>cap extreme percentiles;</w:t>
      </w:r>
    </w:p>
    <w:p>
      <w:pPr>
        <w:pStyle w:val="Compact"/>
        <w:widowControl/>
        <w:numPr>
          <w:ilvl w:val="0"/>
          <w:numId w:val="892"/>
        </w:numPr>
        <w:rPr/>
      </w:pPr>
      <w:r>
        <w:rPr/>
        <w:t>map to a 0–100 score;</w:t>
      </w:r>
    </w:p>
    <w:p>
      <w:pPr>
        <w:pStyle w:val="Compact"/>
        <w:widowControl/>
        <w:numPr>
          <w:ilvl w:val="0"/>
          <w:numId w:val="893"/>
        </w:numPr>
        <w:rPr/>
      </w:pPr>
      <w:bookmarkStart w:id="130" w:name="transformation-pipeline"/>
      <w:r>
        <w:rPr/>
        <w:t>smooth across the approved time window.</w:t>
      </w:r>
      <w:bookmarkEnd w:id="130"/>
    </w:p>
    <w:p>
      <w:pPr>
        <w:pStyle w:val="Heading2"/>
        <w:keepNext w:val="true"/>
        <w:keepLines/>
        <w:widowControl/>
        <w:rPr/>
      </w:pPr>
      <w:bookmarkStart w:id="131" w:name="__RefHeading___Toc8281_528838595"/>
      <w:bookmarkEnd w:id="131"/>
      <w:r>
        <w:rPr/>
        <w:t>8.3 Positive-direction metrics</w:t>
      </w:r>
    </w:p>
    <w:p>
      <w:pPr>
        <w:pStyle w:val="Normal"/>
        <w:rPr/>
      </w:pPr>
      <w:r>
        <w:rPr/>
        <w:t>For a positive-direction metric, higher transformed values indicate stronger performance. Using lower and upper benchmark anchors L and U:</w:t>
      </w:r>
    </w:p>
    <w:p>
      <w:pPr>
        <w:pStyle w:val="BodyText"/>
        <w:keepLines/>
        <w:spacing w:before="80" w:after="160"/>
        <w:jc w:val="center"/>
        <w:rPr/>
      </w:pPr>
      <w:r>
        <w:rPr/>
        <w:drawing>
          <wp:inline distT="0" distB="0" distL="0" distR="0">
            <wp:extent cx="3427730" cy="454025"/>
            <wp:effectExtent l="0" t="0" r="0" b="0"/>
            <wp:docPr id="5" name="Picture 6" descr="\mathrm{Score}^{+}(x)=100\,\mathrm{clip}\!\left(\frac{T(x)-L}{U-L},\,0,\,1\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mathrm{Score}^{+}(x)=100\,\mathrm{clip}\!\left(\frac{T(x)-L}{U-L},\,0,\,1\right)" title="Equation"/>
                    <pic:cNvPicPr>
                      <a:picLocks noChangeAspect="1" noChangeArrowheads="1"/>
                    </pic:cNvPicPr>
                  </pic:nvPicPr>
                  <pic:blipFill>
                    <a:blip r:embed="rId6"/>
                    <a:stretch>
                      <a:fillRect/>
                    </a:stretch>
                  </pic:blipFill>
                  <pic:spPr bwMode="auto">
                    <a:xfrm>
                      <a:off x="0" y="0"/>
                      <a:ext cx="3427730" cy="454025"/>
                    </a:xfrm>
                    <a:prstGeom prst="rect">
                      <a:avLst/>
                    </a:prstGeom>
                    <a:noFill/>
                  </pic:spPr>
                </pic:pic>
              </a:graphicData>
            </a:graphic>
          </wp:inline>
        </w:drawing>
      </w:r>
    </w:p>
    <w:p>
      <w:pPr>
        <w:pStyle w:val="Heading2"/>
        <w:keepNext w:val="true"/>
        <w:keepLines/>
        <w:widowControl/>
        <w:rPr/>
      </w:pPr>
      <w:bookmarkStart w:id="132" w:name="__RefHeading___Toc8283_528838595"/>
      <w:bookmarkEnd w:id="132"/>
      <w:r>
        <w:rPr/>
        <w:t>8.4 Negative-direction metrics</w:t>
      </w:r>
    </w:p>
    <w:p>
      <w:pPr>
        <w:pStyle w:val="Normal"/>
        <w:rPr/>
      </w:pPr>
      <w:r>
        <w:rPr/>
        <w:t>For negative-direction metrics such as slippage, outage time or concentration, lower values are better:</w:t>
      </w:r>
    </w:p>
    <w:p>
      <w:pPr>
        <w:pStyle w:val="BodyText"/>
        <w:keepLines/>
        <w:spacing w:before="80" w:after="160"/>
        <w:jc w:val="center"/>
        <w:rPr/>
      </w:pPr>
      <w:r>
        <w:rPr/>
        <w:drawing>
          <wp:inline distT="0" distB="0" distL="0" distR="0">
            <wp:extent cx="3949700" cy="461010"/>
            <wp:effectExtent l="0" t="0" r="0" b="0"/>
            <wp:docPr id="6" name="Picture 7" descr="\mathrm{Score}^{-}(x)=100\left[1-\mathrm{clip}\!\left(\frac{T(x)-L}{U-L},\,0,\,1\right)\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mathrm{Score}^{-}(x)=100\left[1-\mathrm{clip}\!\left(\frac{T(x)-L}{U-L},\,0,\,1\right)\right]" title="Equation"/>
                    <pic:cNvPicPr>
                      <a:picLocks noChangeAspect="1" noChangeArrowheads="1"/>
                    </pic:cNvPicPr>
                  </pic:nvPicPr>
                  <pic:blipFill>
                    <a:blip r:embed="rId7"/>
                    <a:stretch>
                      <a:fillRect/>
                    </a:stretch>
                  </pic:blipFill>
                  <pic:spPr bwMode="auto">
                    <a:xfrm>
                      <a:off x="0" y="0"/>
                      <a:ext cx="3949700" cy="461010"/>
                    </a:xfrm>
                    <a:prstGeom prst="rect">
                      <a:avLst/>
                    </a:prstGeom>
                    <a:noFill/>
                  </pic:spPr>
                </pic:pic>
              </a:graphicData>
            </a:graphic>
          </wp:inline>
        </w:drawing>
      </w:r>
    </w:p>
    <w:p>
      <w:pPr>
        <w:pStyle w:val="Heading2"/>
        <w:keepNext w:val="true"/>
        <w:keepLines/>
        <w:widowControl/>
        <w:rPr/>
      </w:pPr>
      <w:bookmarkStart w:id="133" w:name="__RefHeading___Toc8285_528838595"/>
      <w:bookmarkEnd w:id="133"/>
      <w:r>
        <w:rPr/>
        <w:t>8.5 Bounded-optimum metrics</w:t>
      </w:r>
    </w:p>
    <w:p>
      <w:pPr>
        <w:pStyle w:val="Normal"/>
        <w:rPr/>
      </w:pPr>
      <w:r>
        <w:rPr/>
        <w:t>Some variables are not monotonically better. Extremely low fees may indicate insufficient security revenue; extremely high fees may make the network unusable. A bounded-optimum metric uses a target range or piecewise function approved in the metric registry.</w:t>
      </w:r>
    </w:p>
    <w:p>
      <w:pPr>
        <w:pStyle w:val="BodyText"/>
        <w:widowControl/>
        <w:rPr/>
      </w:pPr>
      <w:r>
        <w:rPr/>
        <w:t>One form is:</w:t>
      </w:r>
    </w:p>
    <w:p>
      <w:pPr>
        <w:pStyle w:val="BodyText"/>
        <w:keepLines/>
        <w:spacing w:before="80" w:after="160"/>
        <w:jc w:val="center"/>
        <w:rPr/>
      </w:pPr>
      <w:r>
        <w:rPr/>
        <w:drawing>
          <wp:inline distT="0" distB="0" distL="0" distR="0">
            <wp:extent cx="3317875" cy="528955"/>
            <wp:effectExtent l="0" t="0" r="0" b="0"/>
            <wp:docPr id="7" name="Picture 8" descr="\mathrm{Score}^{\mathrm{opt}}(x)=100\exp\!\left[-\frac{(T(x)-\mu)^2}{2\sigma^2}\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mathrm{Score}^{\mathrm{opt}}(x)=100\exp\!\left[-\frac{(T(x)-\mu)^2}{2\sigma^2}\right]" title="Equation"/>
                    <pic:cNvPicPr>
                      <a:picLocks noChangeAspect="1" noChangeArrowheads="1"/>
                    </pic:cNvPicPr>
                  </pic:nvPicPr>
                  <pic:blipFill>
                    <a:blip r:embed="rId8"/>
                    <a:stretch>
                      <a:fillRect/>
                    </a:stretch>
                  </pic:blipFill>
                  <pic:spPr bwMode="auto">
                    <a:xfrm>
                      <a:off x="0" y="0"/>
                      <a:ext cx="3317875" cy="528955"/>
                    </a:xfrm>
                    <a:prstGeom prst="rect">
                      <a:avLst/>
                    </a:prstGeom>
                    <a:noFill/>
                  </pic:spPr>
                </pic:pic>
              </a:graphicData>
            </a:graphic>
          </wp:inline>
        </w:drawing>
      </w:r>
    </w:p>
    <w:p>
      <w:pPr>
        <w:pStyle w:val="Normal"/>
        <w:rPr/>
      </w:pPr>
      <w:r>
        <w:rPr/>
        <w:t>where μ represents the evidence-based optimum and σ controls tolerance. Bounded-optimum functions require stronger governance evidence because they embed more model judgement.</w:t>
      </w:r>
    </w:p>
    <w:p>
      <w:pPr>
        <w:pStyle w:val="Heading2"/>
        <w:keepNext w:val="true"/>
        <w:keepLines/>
        <w:widowControl/>
        <w:rPr/>
      </w:pPr>
      <w:bookmarkStart w:id="134" w:name="__RefHeading___Toc8287_528838595"/>
      <w:bookmarkEnd w:id="134"/>
      <w:r>
        <w:rPr/>
        <w:t>8.6 Logarithmic and ratio transformations</w:t>
      </w:r>
    </w:p>
    <w:p>
      <w:pPr>
        <w:pStyle w:val="Normal"/>
        <w:rPr/>
      </w:pPr>
      <w:r>
        <w:rPr/>
        <w:t>Metrics spanning several orders of magnitude commonly use:</w:t>
      </w:r>
    </w:p>
    <w:p>
      <w:pPr>
        <w:pStyle w:val="BodyText"/>
        <w:keepLines/>
        <w:spacing w:before="80" w:after="160"/>
        <w:jc w:val="center"/>
        <w:rPr/>
      </w:pPr>
      <w:r>
        <w:rPr/>
        <w:drawing>
          <wp:inline distT="0" distB="0" distL="0" distR="0">
            <wp:extent cx="1692910" cy="310515"/>
            <wp:effectExtent l="0" t="0" r="0" b="0"/>
            <wp:docPr id="8" name="Picture 9" descr="T(x)=\log(1+x)"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descr="T(x)=\log(1+x)" title="Equation"/>
                    <pic:cNvPicPr>
                      <a:picLocks noChangeAspect="1" noChangeArrowheads="1"/>
                    </pic:cNvPicPr>
                  </pic:nvPicPr>
                  <pic:blipFill>
                    <a:blip r:embed="rId9"/>
                    <a:stretch>
                      <a:fillRect/>
                    </a:stretch>
                  </pic:blipFill>
                  <pic:spPr bwMode="auto">
                    <a:xfrm>
                      <a:off x="0" y="0"/>
                      <a:ext cx="1692910" cy="310515"/>
                    </a:xfrm>
                    <a:prstGeom prst="rect">
                      <a:avLst/>
                    </a:prstGeom>
                    <a:noFill/>
                  </pic:spPr>
                </pic:pic>
              </a:graphicData>
            </a:graphic>
          </wp:inline>
        </w:drawing>
      </w:r>
    </w:p>
    <w:p>
      <w:pPr>
        <w:pStyle w:val="Normal"/>
        <w:rPr/>
      </w:pPr>
      <w:bookmarkStart w:id="135" w:name="logarithmic-and-ratio-transformations"/>
      <w:r>
        <w:rPr/>
        <w:t>Scale-sensitive metrics may also be expressed as ratios, including revenue per active user, liquidity relative to market value, or security budget relative to settled value. Ratios are used only when numerator and denominator are economically compatible.</w:t>
      </w:r>
      <w:bookmarkEnd w:id="135"/>
    </w:p>
    <w:p>
      <w:pPr>
        <w:pStyle w:val="Heading2"/>
        <w:keepNext w:val="true"/>
        <w:keepLines/>
        <w:widowControl/>
        <w:rPr/>
      </w:pPr>
      <w:bookmarkStart w:id="136" w:name="__RefHeading___Toc8289_528838595"/>
      <w:bookmarkEnd w:id="136"/>
      <w:r>
        <w:rPr/>
        <w:t>8.7 Benchmark anchors</w:t>
      </w:r>
    </w:p>
    <w:p>
      <w:pPr>
        <w:pStyle w:val="Normal"/>
        <w:rPr/>
      </w:pPr>
      <w:r>
        <w:rPr/>
        <w:t>Benchmark anchors are fixed for a methodology version and recalibrated only through governance. They may be based on:</w:t>
      </w:r>
    </w:p>
    <w:p>
      <w:pPr>
        <w:pStyle w:val="Compact"/>
        <w:widowControl/>
        <w:numPr>
          <w:ilvl w:val="0"/>
          <w:numId w:val="894"/>
        </w:numPr>
        <w:rPr/>
      </w:pPr>
      <w:r>
        <w:rPr/>
        <w:t>long historical distributions;</w:t>
      </w:r>
    </w:p>
    <w:p>
      <w:pPr>
        <w:pStyle w:val="Compact"/>
        <w:widowControl/>
        <w:numPr>
          <w:ilvl w:val="0"/>
          <w:numId w:val="895"/>
        </w:numPr>
        <w:rPr/>
      </w:pPr>
      <w:r>
        <w:rPr/>
        <w:t>winsorised cross-network percentiles;</w:t>
      </w:r>
    </w:p>
    <w:p>
      <w:pPr>
        <w:pStyle w:val="Compact"/>
        <w:widowControl/>
        <w:numPr>
          <w:ilvl w:val="0"/>
          <w:numId w:val="896"/>
        </w:numPr>
        <w:rPr/>
      </w:pPr>
      <w:r>
        <w:rPr/>
        <w:t>economic thresholds;</w:t>
      </w:r>
    </w:p>
    <w:p>
      <w:pPr>
        <w:pStyle w:val="Compact"/>
        <w:widowControl/>
        <w:numPr>
          <w:ilvl w:val="0"/>
          <w:numId w:val="897"/>
        </w:numPr>
        <w:rPr/>
      </w:pPr>
      <w:r>
        <w:rPr/>
        <w:t>stress-tested target ranges;</w:t>
      </w:r>
    </w:p>
    <w:p>
      <w:pPr>
        <w:pStyle w:val="Compact"/>
        <w:widowControl/>
        <w:numPr>
          <w:ilvl w:val="0"/>
          <w:numId w:val="898"/>
        </w:numPr>
        <w:rPr/>
      </w:pPr>
      <w:r>
        <w:rPr/>
        <w:t>architecture-aware but economically equivalent reference sets.</w:t>
      </w:r>
    </w:p>
    <w:p>
      <w:pPr>
        <w:pStyle w:val="Normal"/>
        <w:rPr/>
      </w:pPr>
      <w:bookmarkStart w:id="137" w:name="benchmark-anchors"/>
      <w:r>
        <w:rPr/>
        <w:t>Every recalibration requires an impact simulation and a versioned historical series.</w:t>
      </w:r>
      <w:bookmarkEnd w:id="137"/>
    </w:p>
    <w:p>
      <w:pPr>
        <w:pStyle w:val="Heading2"/>
        <w:keepNext w:val="true"/>
        <w:keepLines/>
        <w:widowControl/>
        <w:rPr/>
      </w:pPr>
      <w:bookmarkStart w:id="138" w:name="__RefHeading___Toc8291_528838595"/>
      <w:bookmarkEnd w:id="138"/>
      <w:r>
        <w:rPr/>
        <w:t>8.8 Smoothing</w:t>
      </w:r>
    </w:p>
    <w:p>
      <w:pPr>
        <w:pStyle w:val="Normal"/>
        <w:rPr/>
      </w:pPr>
      <w:r>
        <w:rPr/>
        <w:t>Voxonomics separates observation windows from smoothing windows. A daily observation may feed a 30-day exponentially weighted moving average:</w:t>
      </w:r>
    </w:p>
    <w:p>
      <w:pPr>
        <w:pStyle w:val="BodyText"/>
        <w:keepLines/>
        <w:spacing w:before="80" w:after="160"/>
        <w:jc w:val="center"/>
        <w:rPr/>
      </w:pPr>
      <w:r>
        <w:rPr/>
        <w:drawing>
          <wp:inline distT="0" distB="0" distL="0" distR="0">
            <wp:extent cx="2208530" cy="290195"/>
            <wp:effectExtent l="0" t="0" r="0" b="0"/>
            <wp:docPr id="9" name="Picture 10" descr="S_t=\alpha X_t+(1-\alpha)S_{t-1}"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descr="S_t=\alpha X_t+(1-\alpha)S_{t-1}" title="Equation"/>
                    <pic:cNvPicPr>
                      <a:picLocks noChangeAspect="1" noChangeArrowheads="1"/>
                    </pic:cNvPicPr>
                  </pic:nvPicPr>
                  <pic:blipFill>
                    <a:blip r:embed="rId10"/>
                    <a:stretch>
                      <a:fillRect/>
                    </a:stretch>
                  </pic:blipFill>
                  <pic:spPr bwMode="auto">
                    <a:xfrm>
                      <a:off x="0" y="0"/>
                      <a:ext cx="2208530" cy="290195"/>
                    </a:xfrm>
                    <a:prstGeom prst="rect">
                      <a:avLst/>
                    </a:prstGeom>
                    <a:noFill/>
                  </pic:spPr>
                </pic:pic>
              </a:graphicData>
            </a:graphic>
          </wp:inline>
        </w:drawing>
      </w:r>
    </w:p>
    <w:p>
      <w:pPr>
        <w:pStyle w:val="Normal"/>
        <w:rPr/>
      </w:pPr>
      <w:r>
        <w:rPr/>
        <w:t>with:</w:t>
      </w:r>
    </w:p>
    <w:p>
      <w:pPr>
        <w:pStyle w:val="BodyText"/>
        <w:keepLines/>
        <w:spacing w:before="80" w:after="160"/>
        <w:jc w:val="center"/>
        <w:rPr/>
      </w:pPr>
      <w:r>
        <w:rPr/>
        <w:drawing>
          <wp:inline distT="0" distB="0" distL="0" distR="0">
            <wp:extent cx="1508760" cy="835025"/>
            <wp:effectExtent l="0" t="0" r="0" b="0"/>
            <wp:docPr id="10" name="Picture 11" descr="\alpha=\frac{2}{n+1}"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 descr="\alpha=\frac{2}{n+1}" title="Equation"/>
                    <pic:cNvPicPr>
                      <a:picLocks noChangeAspect="1" noChangeArrowheads="1"/>
                    </pic:cNvPicPr>
                  </pic:nvPicPr>
                  <pic:blipFill>
                    <a:blip r:embed="rId11"/>
                    <a:stretch>
                      <a:fillRect/>
                    </a:stretch>
                  </pic:blipFill>
                  <pic:spPr bwMode="auto">
                    <a:xfrm>
                      <a:off x="0" y="0"/>
                      <a:ext cx="1508760" cy="835025"/>
                    </a:xfrm>
                    <a:prstGeom prst="rect">
                      <a:avLst/>
                    </a:prstGeom>
                    <a:noFill/>
                  </pic:spPr>
                </pic:pic>
              </a:graphicData>
            </a:graphic>
          </wp:inline>
        </w:drawing>
      </w:r>
    </w:p>
    <w:p>
      <w:pPr>
        <w:pStyle w:val="Normal"/>
        <w:rPr/>
      </w:pPr>
      <w:r>
        <w:rPr/>
        <w:t>where n is the approved effective window. Fast-moving liquidity and incident metrics may use shorter response windows; adoption and resilience use longer windows. The metric registry defines the window for each submetric.</w:t>
      </w:r>
    </w:p>
    <w:p>
      <w:pPr>
        <w:pStyle w:val="Heading2"/>
        <w:keepNext w:val="true"/>
        <w:keepLines/>
        <w:widowControl/>
        <w:rPr/>
      </w:pPr>
      <w:bookmarkStart w:id="139" w:name="__RefHeading___Toc8293_528838595"/>
      <w:bookmarkEnd w:id="139"/>
      <w:r>
        <w:rPr/>
        <w:t>8.9 Persistence and anti-spike controls</w:t>
      </w:r>
    </w:p>
    <w:p>
      <w:pPr>
        <w:pStyle w:val="Normal"/>
        <w:rPr/>
      </w:pPr>
      <w:r>
        <w:rPr/>
        <w:t>A score increase may require persistence before full recognition. Controls include:</w:t>
      </w:r>
    </w:p>
    <w:p>
      <w:pPr>
        <w:pStyle w:val="Compact"/>
        <w:widowControl/>
        <w:numPr>
          <w:ilvl w:val="0"/>
          <w:numId w:val="899"/>
        </w:numPr>
        <w:rPr/>
      </w:pPr>
      <w:r>
        <w:rPr/>
        <w:t>minimum duration above a threshold;</w:t>
      </w:r>
    </w:p>
    <w:p>
      <w:pPr>
        <w:pStyle w:val="Compact"/>
        <w:widowControl/>
        <w:numPr>
          <w:ilvl w:val="0"/>
          <w:numId w:val="900"/>
        </w:numPr>
        <w:rPr/>
      </w:pPr>
      <w:r>
        <w:rPr/>
        <w:t>rolling median confirmation;</w:t>
      </w:r>
    </w:p>
    <w:p>
      <w:pPr>
        <w:pStyle w:val="Compact"/>
        <w:widowControl/>
        <w:numPr>
          <w:ilvl w:val="0"/>
          <w:numId w:val="901"/>
        </w:numPr>
        <w:rPr/>
      </w:pPr>
      <w:r>
        <w:rPr/>
        <w:t>exclusion of self-transfers and known incentive loops;</w:t>
      </w:r>
    </w:p>
    <w:p>
      <w:pPr>
        <w:pStyle w:val="Compact"/>
        <w:widowControl/>
        <w:numPr>
          <w:ilvl w:val="0"/>
          <w:numId w:val="902"/>
        </w:numPr>
        <w:rPr/>
      </w:pPr>
      <w:r>
        <w:rPr/>
        <w:t>anomaly flags based on historical variance;</w:t>
      </w:r>
    </w:p>
    <w:p>
      <w:pPr>
        <w:pStyle w:val="Compact"/>
        <w:widowControl/>
        <w:numPr>
          <w:ilvl w:val="0"/>
          <w:numId w:val="903"/>
        </w:numPr>
        <w:rPr/>
      </w:pPr>
      <w:r>
        <w:rPr/>
        <w:t>cap on maximum daily score change;</w:t>
      </w:r>
    </w:p>
    <w:p>
      <w:pPr>
        <w:pStyle w:val="Compact"/>
        <w:widowControl/>
        <w:numPr>
          <w:ilvl w:val="0"/>
          <w:numId w:val="904"/>
        </w:numPr>
        <w:rPr/>
      </w:pPr>
      <w:r>
        <w:rPr/>
        <w:t>delayed inclusion of newly deployed assets or applications.</w:t>
      </w:r>
    </w:p>
    <w:p>
      <w:pPr>
        <w:pStyle w:val="Normal"/>
        <w:rPr/>
      </w:pPr>
      <w:bookmarkStart w:id="140" w:name="persistence-and-anti-spike-controls"/>
      <w:r>
        <w:rPr/>
        <w:t>Controls must not hide genuine deterioration. Security incidents and outages may reduce scores immediately where delay would misrepresent risk.</w:t>
      </w:r>
      <w:bookmarkEnd w:id="140"/>
    </w:p>
    <w:p>
      <w:pPr>
        <w:pStyle w:val="Heading2"/>
        <w:keepNext w:val="true"/>
        <w:keepLines/>
        <w:widowControl/>
        <w:rPr/>
      </w:pPr>
      <w:bookmarkStart w:id="141" w:name="__RefHeading___Toc8295_528838595"/>
      <w:bookmarkEnd w:id="141"/>
      <w:r>
        <w:rPr/>
        <w:t>8.10 Correlated submetrics</w:t>
      </w:r>
    </w:p>
    <w:p>
      <w:pPr>
        <w:pStyle w:val="Normal"/>
        <w:rPr/>
      </w:pPr>
      <w:bookmarkStart w:id="142" w:name="X82f498e61e200b926bcfe8b75af0f6794bc3a1d"/>
      <w:bookmarkStart w:id="143" w:name="correlated-submetrics"/>
      <w:r>
        <w:rPr/>
        <w:t>Submetrics that measure the same underlying activity can create hidden overweighting. Before approval, the DAO reviews pairwise and multivariate correlation, causal overlap and common-source dependence. Highly redundant measures are combined, down-weighted inside the parent index or used as validation rather than separate contributions.</w:t>
      </w:r>
      <w:bookmarkEnd w:id="142"/>
      <w:bookmarkEnd w:id="143"/>
    </w:p>
    <w:p>
      <w:pPr>
        <w:pStyle w:val="Heading1"/>
        <w:keepNext w:val="true"/>
        <w:keepLines/>
        <w:widowControl/>
        <w:pBdr>
          <w:bottom w:val="single" w:sz="6" w:space="5" w:color="8AB2BF"/>
        </w:pBdr>
        <w:jc w:val="start"/>
        <w:rPr/>
      </w:pPr>
      <w:bookmarkStart w:id="144" w:name="__RefHeading___Toc8297_528838595"/>
      <w:bookmarkEnd w:id="144"/>
      <w:r>
        <w:rPr/>
        <w:t>9. Economic Reference Unit</w:t>
      </w:r>
    </w:p>
    <w:p>
      <w:pPr>
        <w:pStyle w:val="Heading2"/>
        <w:keepNext w:val="true"/>
        <w:keepLines/>
        <w:widowControl/>
        <w:rPr/>
      </w:pPr>
      <w:bookmarkStart w:id="145" w:name="__RefHeading___Toc8299_528838595"/>
      <w:bookmarkEnd w:id="145"/>
      <w:r>
        <w:rPr/>
        <w:t>9.1 Purpose</w:t>
      </w:r>
    </w:p>
    <w:p>
      <w:pPr>
        <w:pStyle w:val="Normal"/>
        <w:rPr/>
      </w:pPr>
      <w:r>
        <w:rPr/>
        <w:t>A raw composite between 0 and 1 is easy to calculate but difficult to interpret through time. If industry capability improves, a fixed score may not show whether a network is keeping pace with the strongest credible systems. The Economic Reference Unit provides a moving but controlled benchmark.</w:t>
      </w:r>
    </w:p>
    <w:p>
      <w:pPr>
        <w:pStyle w:val="BodyText"/>
        <w:widowControl/>
        <w:rPr/>
      </w:pPr>
      <w:bookmarkStart w:id="146" w:name="purpose-1"/>
      <w:r>
        <w:rPr/>
        <w:t>The ERU is not a currency peg and does not represent one dollar, one euro or a commodity quantity. It is a standardised unit of measured blockchain economic performance.</w:t>
      </w:r>
      <w:bookmarkEnd w:id="146"/>
    </w:p>
    <w:p>
      <w:pPr>
        <w:pStyle w:val="Heading2"/>
        <w:keepNext w:val="true"/>
        <w:keepLines/>
        <w:widowControl/>
        <w:rPr/>
      </w:pPr>
      <w:bookmarkStart w:id="147" w:name="__RefHeading___Toc8301_528838595"/>
      <w:bookmarkEnd w:id="147"/>
      <w:r>
        <w:rPr/>
        <w:t>9.2 Core ERU benchmark</w:t>
      </w:r>
    </w:p>
    <w:p>
      <w:pPr>
        <w:pStyle w:val="Normal"/>
        <w:rPr/>
      </w:pPr>
      <w:r>
        <w:rPr/>
        <w:t>For each publication date t, the framework identifies eligible networks that meet all of the following:</w:t>
      </w:r>
    </w:p>
    <w:p>
      <w:pPr>
        <w:pStyle w:val="Compact"/>
        <w:widowControl/>
        <w:numPr>
          <w:ilvl w:val="0"/>
          <w:numId w:val="905"/>
        </w:numPr>
        <w:rPr/>
      </w:pPr>
      <w:r>
        <w:rPr/>
        <w:t>VCS of at least 70;</w:t>
      </w:r>
    </w:p>
    <w:p>
      <w:pPr>
        <w:pStyle w:val="Compact"/>
        <w:widowControl/>
        <w:numPr>
          <w:ilvl w:val="0"/>
          <w:numId w:val="906"/>
        </w:numPr>
        <w:rPr/>
      </w:pPr>
      <w:r>
        <w:rPr/>
        <w:t>at least 180 days of comparable history;</w:t>
      </w:r>
    </w:p>
    <w:p>
      <w:pPr>
        <w:pStyle w:val="Compact"/>
        <w:widowControl/>
        <w:numPr>
          <w:ilvl w:val="0"/>
          <w:numId w:val="907"/>
        </w:numPr>
        <w:rPr/>
      </w:pPr>
      <w:r>
        <w:rPr/>
        <w:t>official scores for all six parent indices;</w:t>
      </w:r>
    </w:p>
    <w:p>
      <w:pPr>
        <w:pStyle w:val="Compact"/>
        <w:widowControl/>
        <w:numPr>
          <w:ilvl w:val="0"/>
          <w:numId w:val="908"/>
        </w:numPr>
        <w:rPr/>
      </w:pPr>
      <w:r>
        <w:rPr/>
        <w:t>no unresolved critical data dispute;</w:t>
      </w:r>
    </w:p>
    <w:p>
      <w:pPr>
        <w:pStyle w:val="Compact"/>
        <w:widowControl/>
        <w:numPr>
          <w:ilvl w:val="0"/>
          <w:numId w:val="909"/>
        </w:numPr>
        <w:rPr/>
      </w:pPr>
      <w:r>
        <w:rPr/>
        <w:t>a canonical scope that avoids duplicate ecosystem representation.</w:t>
      </w:r>
    </w:p>
    <w:p>
      <w:pPr>
        <w:pStyle w:val="Normal"/>
        <w:rPr/>
      </w:pPr>
      <w:r>
        <w:rPr/>
        <w:t>From the eligible set, let Q_t denote the top-quartile eligible network set. The framework calculates a 90-day time-weighted median:</w:t>
      </w:r>
    </w:p>
    <w:p>
      <w:pPr>
        <w:pStyle w:val="BodyText"/>
        <w:keepLines/>
        <w:spacing w:before="80" w:after="160"/>
        <w:jc w:val="center"/>
        <w:rPr/>
      </w:pPr>
      <w:r>
        <w:rPr/>
        <w:drawing>
          <wp:inline distT="0" distB="0" distL="0" distR="0">
            <wp:extent cx="4530090" cy="692785"/>
            <wp:effectExtent l="0" t="0" r="0" b="0"/>
            <wp:docPr id="11" name="Picture 12" descr="ERU_{\mathrm{core}}(t)=\mathrm{TWMA}_{90}\!\left(\underset{i\in\mathcal{Q}_t}{\mathrm{median}}\;VTS_{\mathrm{core},i}(t)\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descr="ERU_{\mathrm{core}}(t)=\mathrm{TWMA}_{90}\!\left(\underset{i\in\mathcal{Q}_t}{\mathrm{median}}\;VTS_{\mathrm{core},i}(t)\right)" title="Equation"/>
                    <pic:cNvPicPr>
                      <a:picLocks noChangeAspect="1" noChangeArrowheads="1"/>
                    </pic:cNvPicPr>
                  </pic:nvPicPr>
                  <pic:blipFill>
                    <a:blip r:embed="rId12"/>
                    <a:stretch>
                      <a:fillRect/>
                    </a:stretch>
                  </pic:blipFill>
                  <pic:spPr bwMode="auto">
                    <a:xfrm>
                      <a:off x="0" y="0"/>
                      <a:ext cx="4530090" cy="692785"/>
                    </a:xfrm>
                    <a:prstGeom prst="rect">
                      <a:avLst/>
                    </a:prstGeom>
                    <a:noFill/>
                  </pic:spPr>
                </pic:pic>
              </a:graphicData>
            </a:graphic>
          </wp:inline>
        </w:drawing>
      </w:r>
    </w:p>
    <w:p>
      <w:pPr>
        <w:pStyle w:val="Normal"/>
        <w:rPr/>
      </w:pPr>
      <w:r>
        <w:rPr/>
        <w:t>The published reference is defined as:</w:t>
      </w:r>
    </w:p>
    <w:p>
      <w:pPr>
        <w:pStyle w:val="BodyText"/>
        <w:keepLines/>
        <w:spacing w:before="80" w:after="160"/>
        <w:jc w:val="center"/>
        <w:rPr/>
      </w:pPr>
      <w:r>
        <w:rPr/>
        <w:drawing>
          <wp:inline distT="0" distB="0" distL="0" distR="0">
            <wp:extent cx="1990090" cy="294005"/>
            <wp:effectExtent l="0" t="0" r="0" b="0"/>
            <wp:docPr id="12" name="Picture 13" descr="ERU(t)=1.0000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3" descr="ERU(t)=1.000000" title="Equation"/>
                    <pic:cNvPicPr>
                      <a:picLocks noChangeAspect="1" noChangeArrowheads="1"/>
                    </pic:cNvPicPr>
                  </pic:nvPicPr>
                  <pic:blipFill>
                    <a:blip r:embed="rId13"/>
                    <a:stretch>
                      <a:fillRect/>
                    </a:stretch>
                  </pic:blipFill>
                  <pic:spPr bwMode="auto">
                    <a:xfrm>
                      <a:off x="0" y="0"/>
                      <a:ext cx="1990090" cy="294005"/>
                    </a:xfrm>
                    <a:prstGeom prst="rect">
                      <a:avLst/>
                    </a:prstGeom>
                    <a:noFill/>
                  </pic:spPr>
                </pic:pic>
              </a:graphicData>
            </a:graphic>
          </wp:inline>
        </w:drawing>
      </w:r>
    </w:p>
    <w:p>
      <w:pPr>
        <w:pStyle w:val="Normal"/>
        <w:rPr/>
      </w:pPr>
      <w:r>
        <w:rPr/>
        <w:t>and each network’s standardised score is:</w:t>
      </w:r>
    </w:p>
    <w:p>
      <w:pPr>
        <w:pStyle w:val="BodyText"/>
        <w:keepLines/>
        <w:spacing w:before="80" w:after="160"/>
        <w:jc w:val="center"/>
        <w:rPr/>
      </w:pPr>
      <w:r>
        <w:rPr/>
        <w:drawing>
          <wp:inline distT="0" distB="0" distL="0" distR="0">
            <wp:extent cx="1795780" cy="508635"/>
            <wp:effectExtent l="0" t="0" r="0" b="0"/>
            <wp:docPr id="13" name="Picture 14" descr="VTS_i(t)=\frac{VTS_{\mathrm{core},i}(t)}{ERU_{\mathrm{core}}(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descr="VTS_i(t)=\frac{VTS_{\mathrm{core},i}(t)}{ERU_{\mathrm{core}}(t)}" title="Equation"/>
                    <pic:cNvPicPr>
                      <a:picLocks noChangeAspect="1" noChangeArrowheads="1"/>
                    </pic:cNvPicPr>
                  </pic:nvPicPr>
                  <pic:blipFill>
                    <a:blip r:embed="rId14"/>
                    <a:stretch>
                      <a:fillRect/>
                    </a:stretch>
                  </pic:blipFill>
                  <pic:spPr bwMode="auto">
                    <a:xfrm>
                      <a:off x="0" y="0"/>
                      <a:ext cx="1795780" cy="508635"/>
                    </a:xfrm>
                    <a:prstGeom prst="rect">
                      <a:avLst/>
                    </a:prstGeom>
                    <a:noFill/>
                  </pic:spPr>
                </pic:pic>
              </a:graphicData>
            </a:graphic>
          </wp:inline>
        </w:drawing>
      </w:r>
    </w:p>
    <w:p>
      <w:pPr>
        <w:pStyle w:val="Heading2"/>
        <w:keepNext w:val="true"/>
        <w:keepLines/>
        <w:widowControl/>
        <w:rPr/>
      </w:pPr>
      <w:bookmarkStart w:id="148" w:name="__RefHeading___Toc8303_528838595"/>
      <w:bookmarkEnd w:id="148"/>
      <w:r>
        <w:rPr/>
        <w:t>9.3 Interpretation</w:t>
      </w:r>
    </w:p>
    <w:p>
      <w:pPr>
        <w:pStyle w:val="Compact"/>
        <w:widowControl/>
        <w:numPr>
          <w:ilvl w:val="0"/>
          <w:numId w:val="910"/>
        </w:numPr>
        <w:rPr/>
      </w:pPr>
      <w:r>
        <w:rPr>
          <w:b/>
          <w:bCs/>
        </w:rPr>
        <w:t>VTS = 1.000000</w:t>
      </w:r>
      <w:r>
        <w:rPr/>
        <w:t xml:space="preserve"> — performance equals the current reference benchmark.</w:t>
      </w:r>
    </w:p>
    <w:p>
      <w:pPr>
        <w:pStyle w:val="Compact"/>
        <w:widowControl/>
        <w:numPr>
          <w:ilvl w:val="0"/>
          <w:numId w:val="911"/>
        </w:numPr>
        <w:rPr/>
      </w:pPr>
      <w:r>
        <w:rPr>
          <w:b/>
          <w:bCs/>
        </w:rPr>
        <w:t>VTS = 0.750000</w:t>
      </w:r>
      <w:r>
        <w:rPr/>
        <w:t xml:space="preserve"> — performance is 75% of the reference benchmark.</w:t>
      </w:r>
    </w:p>
    <w:p>
      <w:pPr>
        <w:pStyle w:val="Compact"/>
        <w:widowControl/>
        <w:numPr>
          <w:ilvl w:val="0"/>
          <w:numId w:val="912"/>
        </w:numPr>
        <w:rPr/>
      </w:pPr>
      <w:r>
        <w:rPr>
          <w:b/>
          <w:bCs/>
        </w:rPr>
        <w:t>VTS = 1.150000</w:t>
      </w:r>
      <w:r>
        <w:rPr/>
        <w:t xml:space="preserve"> — performance is 15% above the reference benchmark.</w:t>
      </w:r>
    </w:p>
    <w:p>
      <w:pPr>
        <w:pStyle w:val="Normal"/>
        <w:rPr/>
      </w:pPr>
      <w:bookmarkStart w:id="149" w:name="interpretation"/>
      <w:r>
        <w:rPr/>
        <w:t>A score above one is valid. The framework aims for a psychologically clear centre around one, not an artificial ceiling.</w:t>
      </w:r>
      <w:bookmarkEnd w:id="149"/>
    </w:p>
    <w:p>
      <w:pPr>
        <w:pStyle w:val="Heading2"/>
        <w:keepNext w:val="true"/>
        <w:keepLines/>
        <w:widowControl/>
        <w:rPr/>
      </w:pPr>
      <w:bookmarkStart w:id="150" w:name="__RefHeading___Toc8305_528838595"/>
      <w:bookmarkEnd w:id="150"/>
      <w:r>
        <w:rPr/>
        <w:t>9.4 Benchmark stability</w:t>
      </w:r>
    </w:p>
    <w:p>
      <w:pPr>
        <w:pStyle w:val="Normal"/>
        <w:rPr/>
      </w:pPr>
      <w:r>
        <w:rPr/>
        <w:t>The ERU is smoothed and eligibility-gated to prevent abrupt changes caused by one network or one temporary event. Governance may set maximum daily movement for ERU_core, but cannot conceal large structural deterioration in the eligible set.</w:t>
      </w:r>
    </w:p>
    <w:p>
      <w:pPr>
        <w:pStyle w:val="Heading2"/>
        <w:keepNext w:val="true"/>
        <w:keepLines/>
        <w:widowControl/>
        <w:rPr/>
      </w:pPr>
      <w:bookmarkStart w:id="151" w:name="__RefHeading___Toc8307_528838595"/>
      <w:bookmarkEnd w:id="151"/>
      <w:r>
        <w:rPr/>
        <w:t>9.5 Survivorship and selection bias</w:t>
      </w:r>
    </w:p>
    <w:p>
      <w:pPr>
        <w:pStyle w:val="Normal"/>
        <w:rPr/>
      </w:pPr>
      <w:bookmarkStart w:id="152" w:name="survivorship-and-selection-bias"/>
      <w:r>
        <w:rPr/>
        <w:t>A benchmark based only on current leaders can create survivorship bias. Voxonomics therefore preserves the full eligible set, membership changes and historical benchmark composition. Research outputs may also publish fixed-cohort ERU series for comparison.</w:t>
      </w:r>
      <w:bookmarkEnd w:id="152"/>
    </w:p>
    <w:p>
      <w:pPr>
        <w:pStyle w:val="Heading2"/>
        <w:keepNext w:val="true"/>
        <w:keepLines/>
        <w:widowControl/>
        <w:rPr/>
      </w:pPr>
      <w:bookmarkStart w:id="153" w:name="__RefHeading___Toc8309_528838595"/>
      <w:bookmarkEnd w:id="153"/>
      <w:r>
        <w:rPr/>
        <w:t>9.6 ERU versioning</w:t>
      </w:r>
    </w:p>
    <w:p>
      <w:pPr>
        <w:pStyle w:val="Normal"/>
        <w:rPr/>
      </w:pPr>
      <w:bookmarkStart w:id="154" w:name="economic-reference-unit"/>
      <w:bookmarkStart w:id="155" w:name="eru-versioning"/>
      <w:r>
        <w:rPr/>
        <w:t>Changes to eligibility, quartile selection, smoothing or history requirements create a new ERU methodology version. The current and prior series remain publicly accessible.</w:t>
      </w:r>
      <w:bookmarkEnd w:id="154"/>
      <w:bookmarkEnd w:id="155"/>
      <w:r>
        <w:br w:type="page"/>
      </w:r>
    </w:p>
    <w:p>
      <w:pPr>
        <w:pStyle w:val="PartTitle"/>
        <w:spacing w:before="0" w:after="360"/>
        <w:rPr/>
      </w:pPr>
      <w:bookmarkStart w:id="156" w:name="__RefHeading___Toc8311_528838595"/>
      <w:bookmarkStart w:id="157" w:name="part-iii-the-six-index-vts-engine"/>
      <w:bookmarkEnd w:id="156"/>
      <w:r>
        <w:rPr/>
        <w:t>Part III — The Six-Index VTS Engine</w:t>
      </w:r>
      <w:bookmarkEnd w:id="157"/>
    </w:p>
    <w:p>
      <w:pPr>
        <w:pStyle w:val="Heading1"/>
        <w:keepNext w:val="true"/>
        <w:keepLines/>
        <w:widowControl/>
        <w:pBdr>
          <w:bottom w:val="single" w:sz="6" w:space="5" w:color="8AB2BF"/>
        </w:pBdr>
        <w:jc w:val="start"/>
        <w:rPr/>
      </w:pPr>
      <w:bookmarkStart w:id="158" w:name="__RefHeading___Toc8313_528838595"/>
      <w:bookmarkEnd w:id="158"/>
      <w:r>
        <w:rPr/>
        <w:t>10. Value Transfer Score</w:t>
      </w:r>
    </w:p>
    <w:p>
      <w:pPr>
        <w:pStyle w:val="Heading2"/>
        <w:keepNext w:val="true"/>
        <w:keepLines/>
        <w:widowControl/>
        <w:rPr/>
      </w:pPr>
      <w:bookmarkStart w:id="159" w:name="__RefHeading___Toc8315_528838595"/>
      <w:bookmarkEnd w:id="159"/>
      <w:r>
        <w:rPr/>
        <w:t>10.1 Definition</w:t>
      </w:r>
    </w:p>
    <w:p>
      <w:pPr>
        <w:pStyle w:val="Normal"/>
        <w:rPr/>
      </w:pPr>
      <w:r>
        <w:rPr/>
        <w:t xml:space="preserve">The </w:t>
      </w:r>
      <w:r>
        <w:rPr>
          <w:b/>
          <w:bCs/>
        </w:rPr>
        <w:t>Value Transfer Score (VTS)</w:t>
      </w:r>
      <w:r>
        <w:rPr/>
        <w:t xml:space="preserve"> is the central intrinsic measurement of the Voxonomics framework. The name reflects the network’s capacity to create, secure, sustain and transfer economic value across participants and time.</w:t>
      </w:r>
    </w:p>
    <w:p>
      <w:pPr>
        <w:pStyle w:val="BodyText"/>
        <w:widowControl/>
        <w:rPr/>
      </w:pPr>
      <w:bookmarkStart w:id="160" w:name="definition"/>
      <w:r>
        <w:rPr/>
        <w:t>VTS is not a token price, price target or promise of future performance. It is a versioned model output derived from six observable dimensions of network economic quality.</w:t>
      </w:r>
      <w:bookmarkEnd w:id="160"/>
    </w:p>
    <w:p>
      <w:pPr>
        <w:pStyle w:val="Heading2"/>
        <w:keepNext w:val="true"/>
        <w:keepLines/>
        <w:widowControl/>
        <w:rPr/>
      </w:pPr>
      <w:bookmarkStart w:id="161" w:name="__RefHeading___Toc8317_528838595"/>
      <w:bookmarkEnd w:id="161"/>
      <w:r>
        <w:rPr/>
        <w:t>10.2 Equal-weight formula</w:t>
      </w:r>
    </w:p>
    <w:p>
      <w:pPr>
        <w:pStyle w:val="Normal"/>
        <w:rPr/>
      </w:pPr>
      <w:r>
        <w:rPr/>
        <w:t>Each parent index is scored from 0 to 100:</w:t>
      </w:r>
    </w:p>
    <w:p>
      <w:pPr>
        <w:pStyle w:val="BodyText"/>
        <w:keepLines/>
        <w:spacing w:before="80" w:after="160"/>
        <w:jc w:val="center"/>
        <w:rPr/>
      </w:pPr>
      <w:r>
        <w:rPr/>
        <w:drawing>
          <wp:inline distT="0" distB="0" distL="0" distR="0">
            <wp:extent cx="4485640" cy="287020"/>
            <wp:effectExtent l="0" t="0" r="0" b="0"/>
            <wp:docPr id="14" name="Picture 15" descr="PoV,\;OPI,\;DLI,\;PII,\;RWAI,\;ERI\in[0,1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 descr="PoV,\;OPI,\;DLI,\;PII,\;RWAI,\;ERI\in[0,100]" title="Equation"/>
                    <pic:cNvPicPr>
                      <a:picLocks noChangeAspect="1" noChangeArrowheads="1"/>
                    </pic:cNvPicPr>
                  </pic:nvPicPr>
                  <pic:blipFill>
                    <a:blip r:embed="rId15"/>
                    <a:stretch>
                      <a:fillRect/>
                    </a:stretch>
                  </pic:blipFill>
                  <pic:spPr bwMode="auto">
                    <a:xfrm>
                      <a:off x="0" y="0"/>
                      <a:ext cx="4485640" cy="287020"/>
                    </a:xfrm>
                    <a:prstGeom prst="rect">
                      <a:avLst/>
                    </a:prstGeom>
                    <a:noFill/>
                  </pic:spPr>
                </pic:pic>
              </a:graphicData>
            </a:graphic>
          </wp:inline>
        </w:drawing>
      </w:r>
    </w:p>
    <w:p>
      <w:pPr>
        <w:pStyle w:val="Normal"/>
        <w:rPr/>
      </w:pPr>
      <w:r>
        <w:rPr/>
        <w:t>The core score is:</w:t>
      </w:r>
    </w:p>
    <w:p>
      <w:pPr>
        <w:pStyle w:val="BodyText"/>
        <w:keepLines/>
        <w:spacing w:before="80" w:after="160"/>
        <w:jc w:val="center"/>
        <w:rPr/>
      </w:pPr>
      <w:r>
        <w:rPr/>
        <w:drawing>
          <wp:inline distT="0" distB="0" distL="0" distR="0">
            <wp:extent cx="3789045" cy="429895"/>
            <wp:effectExtent l="0" t="0" r="0" b="0"/>
            <wp:docPr id="15" name="Picture 16" descr="VTS_{\mathrm{core}}=\frac{PoV+OPI+DLI+PII+RWAI+ERI}{6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6" descr="VTS_{\mathrm{core}}=\frac{PoV+OPI+DLI+PII+RWAI+ERI}{600}" title="Equation"/>
                    <pic:cNvPicPr>
                      <a:picLocks noChangeAspect="1" noChangeArrowheads="1"/>
                    </pic:cNvPicPr>
                  </pic:nvPicPr>
                  <pic:blipFill>
                    <a:blip r:embed="rId16"/>
                    <a:stretch>
                      <a:fillRect/>
                    </a:stretch>
                  </pic:blipFill>
                  <pic:spPr bwMode="auto">
                    <a:xfrm>
                      <a:off x="0" y="0"/>
                      <a:ext cx="3789045" cy="429895"/>
                    </a:xfrm>
                    <a:prstGeom prst="rect">
                      <a:avLst/>
                    </a:prstGeom>
                    <a:noFill/>
                  </pic:spPr>
                </pic:pic>
              </a:graphicData>
            </a:graphic>
          </wp:inline>
        </w:drawing>
      </w:r>
    </w:p>
    <w:p>
      <w:pPr>
        <w:pStyle w:val="Normal"/>
        <w:rPr/>
      </w:pPr>
      <w:r>
        <w:rPr/>
        <w:t>Equivalently:</w:t>
      </w:r>
    </w:p>
    <w:p>
      <w:pPr>
        <w:pStyle w:val="BodyText"/>
        <w:keepLines/>
        <w:spacing w:before="80" w:after="160"/>
        <w:jc w:val="center"/>
        <w:rPr/>
      </w:pPr>
      <w:r>
        <w:rPr/>
        <w:drawing>
          <wp:inline distT="0" distB="0" distL="0" distR="0">
            <wp:extent cx="1915160" cy="812800"/>
            <wp:effectExtent l="0" t="0" r="0" b="0"/>
            <wp:docPr id="16" name="Picture 17" descr="VTS_{\mathrm{core}}=\frac{1}{6}\sum_{j=1}^{6}\frac{Index_j}{1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7" descr="VTS_{\mathrm{core}}=\frac{1}{6}\sum_{j=1}^{6}\frac{Index_j}{100}" title="Equation"/>
                    <pic:cNvPicPr>
                      <a:picLocks noChangeAspect="1" noChangeArrowheads="1"/>
                    </pic:cNvPicPr>
                  </pic:nvPicPr>
                  <pic:blipFill>
                    <a:blip r:embed="rId17"/>
                    <a:stretch>
                      <a:fillRect/>
                    </a:stretch>
                  </pic:blipFill>
                  <pic:spPr bwMode="auto">
                    <a:xfrm>
                      <a:off x="0" y="0"/>
                      <a:ext cx="1915160" cy="812800"/>
                    </a:xfrm>
                    <a:prstGeom prst="rect">
                      <a:avLst/>
                    </a:prstGeom>
                    <a:noFill/>
                  </pic:spPr>
                </pic:pic>
              </a:graphicData>
            </a:graphic>
          </wp:inline>
        </w:drawing>
      </w:r>
    </w:p>
    <w:p>
      <w:pPr>
        <w:pStyle w:val="Normal"/>
        <w:rPr/>
      </w:pPr>
      <w:r>
        <w:rPr/>
        <w:t>The standardised score is:</w:t>
      </w:r>
    </w:p>
    <w:p>
      <w:pPr>
        <w:pStyle w:val="BodyText"/>
        <w:keepLines/>
        <w:spacing w:before="80" w:after="160"/>
        <w:jc w:val="center"/>
        <w:rPr/>
      </w:pPr>
      <w:r>
        <w:rPr/>
        <w:drawing>
          <wp:inline distT="0" distB="0" distL="0" distR="0">
            <wp:extent cx="1508760" cy="554990"/>
            <wp:effectExtent l="0" t="0" r="0" b="0"/>
            <wp:docPr id="17" name="Picture 18" descr="VTS=\frac{VTS_{\mathrm{core}}}{ERU_{\mathrm{core}}}"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8" descr="VTS=\frac{VTS_{\mathrm{core}}}{ERU_{\mathrm{core}}}" title="Equation"/>
                    <pic:cNvPicPr>
                      <a:picLocks noChangeAspect="1" noChangeArrowheads="1"/>
                    </pic:cNvPicPr>
                  </pic:nvPicPr>
                  <pic:blipFill>
                    <a:blip r:embed="rId18"/>
                    <a:stretch>
                      <a:fillRect/>
                    </a:stretch>
                  </pic:blipFill>
                  <pic:spPr bwMode="auto">
                    <a:xfrm>
                      <a:off x="0" y="0"/>
                      <a:ext cx="1508760" cy="554990"/>
                    </a:xfrm>
                    <a:prstGeom prst="rect">
                      <a:avLst/>
                    </a:prstGeom>
                    <a:noFill/>
                  </pic:spPr>
                </pic:pic>
              </a:graphicData>
            </a:graphic>
          </wp:inline>
        </w:drawing>
      </w:r>
    </w:p>
    <w:p>
      <w:pPr>
        <w:pStyle w:val="Normal"/>
        <w:rPr/>
      </w:pPr>
      <w:bookmarkStart w:id="162" w:name="equal-weight-formula"/>
      <w:r>
        <w:rPr/>
        <w:t>The six parent weights are fixed and equal. A change to parent weighting is not an ordinary parameter update; it would require a new constitutional edition.</w:t>
      </w:r>
      <w:bookmarkEnd w:id="162"/>
    </w:p>
    <w:p>
      <w:pPr>
        <w:pStyle w:val="Heading2"/>
        <w:keepNext w:val="true"/>
        <w:keepLines/>
        <w:widowControl/>
        <w:rPr/>
      </w:pPr>
      <w:bookmarkStart w:id="163" w:name="__RefHeading___Toc8319_528838595"/>
      <w:bookmarkEnd w:id="163"/>
      <w:r>
        <w:rPr/>
        <w:t>10.3 Why six dimensions</w:t>
      </w:r>
    </w:p>
    <w:p>
      <w:pPr>
        <w:pStyle w:val="Normal"/>
        <w:rPr/>
      </w:pPr>
      <w:r>
        <w:rPr/>
        <w:t>The six-index structure balances output, participation, finance, protocol quality, external adoption and resilience. Removing any dimension creates a material blind spot:</w:t>
      </w:r>
    </w:p>
    <w:p>
      <w:pPr>
        <w:pStyle w:val="Compact"/>
        <w:widowControl/>
        <w:numPr>
          <w:ilvl w:val="0"/>
          <w:numId w:val="913"/>
        </w:numPr>
        <w:rPr/>
      </w:pPr>
      <w:r>
        <w:rPr/>
        <w:t>output without integrity can be fragile;</w:t>
      </w:r>
    </w:p>
    <w:p>
      <w:pPr>
        <w:pStyle w:val="Compact"/>
        <w:widowControl/>
        <w:numPr>
          <w:ilvl w:val="0"/>
          <w:numId w:val="914"/>
        </w:numPr>
        <w:rPr/>
      </w:pPr>
      <w:r>
        <w:rPr/>
        <w:t>liquidity without decentralisation can be controlled;</w:t>
      </w:r>
    </w:p>
    <w:p>
      <w:pPr>
        <w:pStyle w:val="Compact"/>
        <w:widowControl/>
        <w:numPr>
          <w:ilvl w:val="0"/>
          <w:numId w:val="915"/>
        </w:numPr>
        <w:rPr/>
      </w:pPr>
      <w:r>
        <w:rPr/>
        <w:t>participation without value creation can be unproductive;</w:t>
      </w:r>
    </w:p>
    <w:p>
      <w:pPr>
        <w:pStyle w:val="Compact"/>
        <w:widowControl/>
        <w:numPr>
          <w:ilvl w:val="0"/>
          <w:numId w:val="916"/>
        </w:numPr>
        <w:rPr/>
      </w:pPr>
      <w:r>
        <w:rPr/>
        <w:t>adoption without resilience can collapse under stress;</w:t>
      </w:r>
    </w:p>
    <w:p>
      <w:pPr>
        <w:pStyle w:val="Compact"/>
        <w:widowControl/>
        <w:numPr>
          <w:ilvl w:val="0"/>
          <w:numId w:val="917"/>
        </w:numPr>
        <w:rPr/>
      </w:pPr>
      <w:r>
        <w:rPr/>
        <w:t>integrity without usage can describe secure but economically inactive infrastructure;</w:t>
      </w:r>
    </w:p>
    <w:p>
      <w:pPr>
        <w:pStyle w:val="Compact"/>
        <w:widowControl/>
        <w:numPr>
          <w:ilvl w:val="0"/>
          <w:numId w:val="918"/>
        </w:numPr>
        <w:rPr/>
      </w:pPr>
      <w:bookmarkStart w:id="164" w:name="why-six-dimensions"/>
      <w:r>
        <w:rPr/>
        <w:t>resilience without current output can describe survival rather than relevance.</w:t>
      </w:r>
      <w:bookmarkEnd w:id="164"/>
    </w:p>
    <w:p>
      <w:pPr>
        <w:pStyle w:val="Heading2"/>
        <w:keepNext w:val="true"/>
        <w:keepLines/>
        <w:widowControl/>
        <w:rPr/>
      </w:pPr>
      <w:bookmarkStart w:id="165" w:name="__RefHeading___Toc8321_528838595"/>
      <w:bookmarkEnd w:id="165"/>
      <w:r>
        <w:rPr/>
        <w:t>10.4 Parent-index construction</w:t>
      </w:r>
    </w:p>
    <w:p>
      <w:pPr>
        <w:pStyle w:val="Normal"/>
        <w:rPr/>
      </w:pPr>
      <w:r>
        <w:rPr/>
        <w:t>Each parent index is a weighted average of canonical sub-indices:</w:t>
      </w:r>
    </w:p>
    <w:p>
      <w:pPr>
        <w:pStyle w:val="BodyText"/>
        <w:keepLines/>
        <w:spacing w:before="80" w:after="160"/>
        <w:jc w:val="center"/>
        <w:rPr/>
      </w:pPr>
      <w:r>
        <w:rPr/>
        <w:drawing>
          <wp:inline distT="0" distB="0" distL="0" distR="0">
            <wp:extent cx="1809115" cy="768350"/>
            <wp:effectExtent l="0" t="0" r="0" b="0"/>
            <wp:docPr id="18" name="Picture 19" descr="Index_j=\sum_{k=1}^{m_j}w_{jk}s_{jk}"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9" descr="Index_j=\sum_{k=1}^{m_j}w_{jk}s_{jk}" title="Equation"/>
                    <pic:cNvPicPr>
                      <a:picLocks noChangeAspect="1" noChangeArrowheads="1"/>
                    </pic:cNvPicPr>
                  </pic:nvPicPr>
                  <pic:blipFill>
                    <a:blip r:embed="rId19"/>
                    <a:stretch>
                      <a:fillRect/>
                    </a:stretch>
                  </pic:blipFill>
                  <pic:spPr bwMode="auto">
                    <a:xfrm>
                      <a:off x="0" y="0"/>
                      <a:ext cx="1809115" cy="768350"/>
                    </a:xfrm>
                    <a:prstGeom prst="rect">
                      <a:avLst/>
                    </a:prstGeom>
                    <a:noFill/>
                  </pic:spPr>
                </pic:pic>
              </a:graphicData>
            </a:graphic>
          </wp:inline>
        </w:drawing>
      </w:r>
    </w:p>
    <w:p>
      <w:pPr>
        <w:pStyle w:val="Normal"/>
        <w:rPr/>
      </w:pPr>
      <w:r>
        <w:rPr/>
        <w:t>where s_jk is a 0–100 sub-index score and:</w:t>
      </w:r>
    </w:p>
    <w:p>
      <w:pPr>
        <w:pStyle w:val="BodyText"/>
        <w:keepLines/>
        <w:spacing w:before="80" w:after="160"/>
        <w:jc w:val="center"/>
        <w:rPr/>
      </w:pPr>
      <w:r>
        <w:rPr/>
        <w:drawing>
          <wp:inline distT="0" distB="0" distL="0" distR="0">
            <wp:extent cx="1508760" cy="1123950"/>
            <wp:effectExtent l="0" t="0" r="0" b="0"/>
            <wp:docPr id="19" name="Picture 20" descr="\sum_{k=1}^{m_j}w_{jk}=1"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0" descr="\sum_{k=1}^{m_j}w_{jk}=1" title="Equation"/>
                    <pic:cNvPicPr>
                      <a:picLocks noChangeAspect="1" noChangeArrowheads="1"/>
                    </pic:cNvPicPr>
                  </pic:nvPicPr>
                  <pic:blipFill>
                    <a:blip r:embed="rId20"/>
                    <a:stretch>
                      <a:fillRect/>
                    </a:stretch>
                  </pic:blipFill>
                  <pic:spPr bwMode="auto">
                    <a:xfrm>
                      <a:off x="0" y="0"/>
                      <a:ext cx="1508760" cy="1123950"/>
                    </a:xfrm>
                    <a:prstGeom prst="rect">
                      <a:avLst/>
                    </a:prstGeom>
                    <a:noFill/>
                  </pic:spPr>
                </pic:pic>
              </a:graphicData>
            </a:graphic>
          </wp:inline>
        </w:drawing>
      </w:r>
    </w:p>
    <w:p>
      <w:pPr>
        <w:pStyle w:val="Normal"/>
        <w:rPr/>
      </w:pPr>
      <w:bookmarkStart w:id="166" w:name="parent-index-construction"/>
      <w:r>
        <w:rPr/>
        <w:t>Sub-index weights are specified in the metric registry. They may be revised through DAO governance only after correlation analysis, backtesting, public review and versioned impact simulation.</w:t>
      </w:r>
      <w:bookmarkEnd w:id="166"/>
    </w:p>
    <w:p>
      <w:pPr>
        <w:pStyle w:val="Heading2"/>
        <w:keepNext w:val="true"/>
        <w:keepLines/>
        <w:widowControl/>
        <w:rPr/>
      </w:pPr>
      <w:bookmarkStart w:id="167" w:name="__RefHeading___Toc8323_528838595"/>
      <w:bookmarkEnd w:id="167"/>
      <w:r>
        <w:rPr/>
        <w:t>10.5 Publication package</w:t>
      </w:r>
    </w:p>
    <w:p>
      <w:pPr>
        <w:pStyle w:val="Normal"/>
        <w:rPr/>
      </w:pPr>
      <w:r>
        <w:rPr/>
        <w:t>An official VTS publication contains:</w:t>
      </w:r>
    </w:p>
    <w:p>
      <w:pPr>
        <w:pStyle w:val="Compact"/>
        <w:widowControl/>
        <w:numPr>
          <w:ilvl w:val="0"/>
          <w:numId w:val="919"/>
        </w:numPr>
        <w:rPr/>
      </w:pPr>
      <w:r>
        <w:rPr/>
        <w:t>current VTS and VTS_core;</w:t>
      </w:r>
    </w:p>
    <w:p>
      <w:pPr>
        <w:pStyle w:val="Compact"/>
        <w:widowControl/>
        <w:numPr>
          <w:ilvl w:val="0"/>
          <w:numId w:val="920"/>
        </w:numPr>
        <w:rPr/>
      </w:pPr>
      <w:r>
        <w:rPr/>
        <w:t>ERU version and value;</w:t>
      </w:r>
    </w:p>
    <w:p>
      <w:pPr>
        <w:pStyle w:val="Compact"/>
        <w:widowControl/>
        <w:numPr>
          <w:ilvl w:val="0"/>
          <w:numId w:val="921"/>
        </w:numPr>
        <w:rPr/>
      </w:pPr>
      <w:r>
        <w:rPr/>
        <w:t>all six parent indices;</w:t>
      </w:r>
    </w:p>
    <w:p>
      <w:pPr>
        <w:pStyle w:val="Compact"/>
        <w:widowControl/>
        <w:numPr>
          <w:ilvl w:val="0"/>
          <w:numId w:val="922"/>
        </w:numPr>
        <w:rPr/>
      </w:pPr>
      <w:r>
        <w:rPr/>
        <w:t>sub-index contributions;</w:t>
      </w:r>
    </w:p>
    <w:p>
      <w:pPr>
        <w:pStyle w:val="Compact"/>
        <w:widowControl/>
        <w:numPr>
          <w:ilvl w:val="0"/>
          <w:numId w:val="923"/>
        </w:numPr>
        <w:rPr/>
      </w:pPr>
      <w:r>
        <w:rPr/>
        <w:t>data windows and freshness;</w:t>
      </w:r>
    </w:p>
    <w:p>
      <w:pPr>
        <w:pStyle w:val="Compact"/>
        <w:widowControl/>
        <w:numPr>
          <w:ilvl w:val="0"/>
          <w:numId w:val="924"/>
        </w:numPr>
        <w:rPr/>
      </w:pPr>
      <w:r>
        <w:rPr/>
        <w:t>VCS and publication status;</w:t>
      </w:r>
    </w:p>
    <w:p>
      <w:pPr>
        <w:pStyle w:val="Compact"/>
        <w:widowControl/>
        <w:numPr>
          <w:ilvl w:val="0"/>
          <w:numId w:val="925"/>
        </w:numPr>
        <w:rPr/>
      </w:pPr>
      <w:r>
        <w:rPr/>
        <w:t>adapter and methodology version;</w:t>
      </w:r>
    </w:p>
    <w:p>
      <w:pPr>
        <w:pStyle w:val="Compact"/>
        <w:widowControl/>
        <w:numPr>
          <w:ilvl w:val="0"/>
          <w:numId w:val="926"/>
        </w:numPr>
        <w:rPr/>
      </w:pPr>
      <w:r>
        <w:rPr/>
        <w:t>material risk and dispute flags;</w:t>
      </w:r>
    </w:p>
    <w:p>
      <w:pPr>
        <w:pStyle w:val="Compact"/>
        <w:widowControl/>
        <w:numPr>
          <w:ilvl w:val="0"/>
          <w:numId w:val="927"/>
        </w:numPr>
        <w:rPr/>
      </w:pPr>
      <w:r>
        <w:rPr/>
        <w:t>machine-readable calculation record.</w:t>
      </w:r>
    </w:p>
    <w:p>
      <w:pPr>
        <w:pStyle w:val="Normal"/>
        <w:rPr/>
      </w:pPr>
      <w:r>
        <w:rPr/>
        <w:drawing>
          <wp:inline distT="0" distB="0" distL="0" distR="0">
            <wp:extent cx="5320030" cy="1374140"/>
            <wp:effectExtent l="0" t="0" r="0" b="0"/>
            <wp:docPr id="20" name="Image3" descr="The analytical stack keeps intrinsic measurement, market recognition, opportunity, risk, confidence and optional implementation separat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 descr="The analytical stack keeps intrinsic measurement, market recognition, opportunity, risk, confidence and optional implementation separate." title=""/>
                    <pic:cNvPicPr>
                      <a:picLocks noChangeAspect="1" noChangeArrowheads="1"/>
                    </pic:cNvPicPr>
                  </pic:nvPicPr>
                  <pic:blipFill>
                    <a:blip r:embed="rId21"/>
                    <a:stretch>
                      <a:fillRect/>
                    </a:stretch>
                  </pic:blipFill>
                  <pic:spPr bwMode="auto">
                    <a:xfrm>
                      <a:off x="0" y="0"/>
                      <a:ext cx="5320030" cy="1374140"/>
                    </a:xfrm>
                    <a:prstGeom prst="rect">
                      <a:avLst/>
                    </a:prstGeom>
                    <a:noFill/>
                  </pic:spPr>
                </pic:pic>
              </a:graphicData>
            </a:graphic>
          </wp:inline>
        </w:drawing>
      </w:r>
    </w:p>
    <w:p>
      <w:pPr>
        <w:pStyle w:val="Normal"/>
        <w:rPr/>
      </w:pPr>
      <w:bookmarkStart w:id="168" w:name="value-transfer-score"/>
      <w:bookmarkStart w:id="169" w:name="publication-package"/>
      <w:r>
        <w:rPr/>
        <w:t>The analytical stack keeps intrinsic measurement, market recognition, opportunity, risk, confidence and optional implementation separate.</w:t>
      </w:r>
      <w:bookmarkEnd w:id="168"/>
      <w:bookmarkEnd w:id="169"/>
    </w:p>
    <w:p>
      <w:pPr>
        <w:pStyle w:val="Heading1"/>
        <w:keepNext w:val="true"/>
        <w:keepLines/>
        <w:widowControl/>
        <w:pBdr>
          <w:bottom w:val="single" w:sz="6" w:space="5" w:color="8AB2BF"/>
        </w:pBdr>
        <w:jc w:val="start"/>
        <w:rPr/>
      </w:pPr>
      <w:bookmarkStart w:id="170" w:name="__RefHeading___Toc8325_528838595"/>
      <w:bookmarkEnd w:id="170"/>
      <w:r>
        <w:rPr/>
        <w:t>11. Proof of Value (PoV)</w:t>
      </w:r>
    </w:p>
    <w:p>
      <w:pPr>
        <w:pStyle w:val="Heading2"/>
        <w:keepNext w:val="true"/>
        <w:keepLines/>
        <w:widowControl/>
        <w:rPr/>
      </w:pPr>
      <w:bookmarkStart w:id="171" w:name="__RefHeading___Toc8327_528838595"/>
      <w:bookmarkEnd w:id="171"/>
      <w:r>
        <w:rPr/>
        <w:t>11.1 Purpose</w:t>
      </w:r>
    </w:p>
    <w:p>
      <w:pPr>
        <w:pStyle w:val="Normal"/>
        <w:rPr/>
      </w:pPr>
      <w:bookmarkStart w:id="172" w:name="purpose-2"/>
      <w:r>
        <w:rPr/>
        <w:t>Proof of Value measures whether a network is producing verifiable, useful and sustainable economic activity. It avoids the assumption that all transactions are equal and distinguishes nominal activity from economic value capture.</w:t>
      </w:r>
      <w:bookmarkEnd w:id="172"/>
    </w:p>
    <w:p>
      <w:pPr>
        <w:pStyle w:val="Heading2"/>
        <w:keepNext w:val="true"/>
        <w:keepLines/>
        <w:widowControl/>
        <w:rPr/>
      </w:pPr>
      <w:bookmarkStart w:id="173" w:name="__RefHeading___Toc8329_528838595"/>
      <w:bookmarkEnd w:id="173"/>
      <w:r>
        <w:rPr/>
        <w:t>11.2 PoV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Economic settlement</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Value and useful operations settled by the network</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Fees and protocol revenue</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Demand paid for network or protocol services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Active economic usage</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Breadth, retention and quality of active demand</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Value capture and sustainability</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Degree to which activity supports security and stakeholders without excessive subsidy</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Persistence and activity quality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Durability, diversity and resistance to fabricated activity</w:t>
            </w:r>
          </w:p>
        </w:tc>
      </w:tr>
    </w:tbl>
    <w:p>
      <w:pPr>
        <w:pStyle w:val="BodyText"/>
        <w:keepLines/>
        <w:spacing w:before="80" w:after="160"/>
        <w:jc w:val="center"/>
        <w:rPr/>
      </w:pPr>
      <w:r>
        <w:rPr/>
        <w:drawing>
          <wp:inline distT="0" distB="0" distL="0" distR="0">
            <wp:extent cx="5623560" cy="295275"/>
            <wp:effectExtent l="0" t="0" r="0" b="0"/>
            <wp:docPr id="21" name="Picture 21" descr="PoV=0.25ES+0.20FR+0.20AU+0.20VC+0.15PQ"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oV=0.25ES+0.20FR+0.20AU+0.20VC+0.15PQ" title="Equation"/>
                    <pic:cNvPicPr>
                      <a:picLocks noChangeAspect="1" noChangeArrowheads="1"/>
                    </pic:cNvPicPr>
                  </pic:nvPicPr>
                  <pic:blipFill>
                    <a:blip r:embed="rId22"/>
                    <a:stretch>
                      <a:fillRect/>
                    </a:stretch>
                  </pic:blipFill>
                  <pic:spPr bwMode="auto">
                    <a:xfrm>
                      <a:off x="0" y="0"/>
                      <a:ext cx="5623560" cy="295275"/>
                    </a:xfrm>
                    <a:prstGeom prst="rect">
                      <a:avLst/>
                    </a:prstGeom>
                    <a:noFill/>
                  </pic:spPr>
                </pic:pic>
              </a:graphicData>
            </a:graphic>
          </wp:inline>
        </w:drawing>
      </w:r>
    </w:p>
    <w:p>
      <w:pPr>
        <w:pStyle w:val="Heading2"/>
        <w:keepNext w:val="true"/>
        <w:keepLines/>
        <w:widowControl/>
        <w:rPr/>
      </w:pPr>
      <w:bookmarkStart w:id="174" w:name="__RefHeading___Toc8331_528838595"/>
      <w:bookmarkEnd w:id="174"/>
      <w:r>
        <w:rPr/>
        <w:t>11.3 Economic settlement</w:t>
      </w:r>
    </w:p>
    <w:p>
      <w:pPr>
        <w:pStyle w:val="Normal"/>
        <w:rPr/>
      </w:pPr>
      <w:r>
        <w:rPr/>
        <w:t>Economic settlement evaluates the value and utility of finalised operations. Evidence may include:</w:t>
      </w:r>
    </w:p>
    <w:p>
      <w:pPr>
        <w:pStyle w:val="Compact"/>
        <w:widowControl/>
        <w:numPr>
          <w:ilvl w:val="0"/>
          <w:numId w:val="928"/>
        </w:numPr>
        <w:rPr/>
      </w:pPr>
      <w:r>
        <w:rPr/>
        <w:t>native and major asset transfer value after self-transfer and change-output filters;</w:t>
      </w:r>
    </w:p>
    <w:p>
      <w:pPr>
        <w:pStyle w:val="Compact"/>
        <w:widowControl/>
        <w:numPr>
          <w:ilvl w:val="0"/>
          <w:numId w:val="929"/>
        </w:numPr>
        <w:rPr/>
      </w:pPr>
      <w:r>
        <w:rPr/>
        <w:t>application settlement where the network provides execution or finality;</w:t>
      </w:r>
    </w:p>
    <w:p>
      <w:pPr>
        <w:pStyle w:val="Compact"/>
        <w:widowControl/>
        <w:numPr>
          <w:ilvl w:val="0"/>
          <w:numId w:val="930"/>
        </w:numPr>
        <w:rPr/>
      </w:pPr>
      <w:r>
        <w:rPr/>
        <w:t>bridge or cross-chain settlement attributed under canonical scope rules;</w:t>
      </w:r>
    </w:p>
    <w:p>
      <w:pPr>
        <w:pStyle w:val="Compact"/>
        <w:widowControl/>
        <w:numPr>
          <w:ilvl w:val="0"/>
          <w:numId w:val="931"/>
        </w:numPr>
        <w:rPr/>
      </w:pPr>
      <w:r>
        <w:rPr/>
        <w:t>economically meaningful contract executions;</w:t>
      </w:r>
    </w:p>
    <w:p>
      <w:pPr>
        <w:pStyle w:val="Compact"/>
        <w:widowControl/>
        <w:numPr>
          <w:ilvl w:val="0"/>
          <w:numId w:val="932"/>
        </w:numPr>
        <w:rPr/>
      </w:pPr>
      <w:r>
        <w:rPr/>
        <w:t>settlement value adjusted for reversibility, finality and duplicated representations.</w:t>
      </w:r>
    </w:p>
    <w:p>
      <w:pPr>
        <w:pStyle w:val="Normal"/>
        <w:rPr/>
      </w:pPr>
      <w:bookmarkStart w:id="175" w:name="economic-settlement"/>
      <w:r>
        <w:rPr/>
        <w:t>Raw value is commonly log-transformed. Stablecoin and token transfer values are separated to avoid one highly active asset dominating the entire component.</w:t>
      </w:r>
      <w:bookmarkEnd w:id="175"/>
    </w:p>
    <w:p>
      <w:pPr>
        <w:pStyle w:val="Heading2"/>
        <w:keepNext w:val="true"/>
        <w:keepLines/>
        <w:widowControl/>
        <w:rPr/>
      </w:pPr>
      <w:bookmarkStart w:id="176" w:name="__RefHeading___Toc8333_528838595"/>
      <w:bookmarkEnd w:id="176"/>
      <w:r>
        <w:rPr/>
        <w:t>11.4 Fees and protocol revenue</w:t>
      </w:r>
    </w:p>
    <w:p>
      <w:pPr>
        <w:pStyle w:val="Normal"/>
        <w:rPr/>
      </w:pPr>
      <w:r>
        <w:rPr/>
        <w:t>Fees measure demand for scarce network resources. Revenue measures the share retained by validators, miners, sequencers, the protocol treasury or token economics after required distributions.</w:t>
      </w:r>
    </w:p>
    <w:p>
      <w:pPr>
        <w:pStyle w:val="BodyText"/>
        <w:widowControl/>
        <w:rPr/>
      </w:pPr>
      <w:r>
        <w:rPr/>
        <w:t>The component records:</w:t>
      </w:r>
    </w:p>
    <w:p>
      <w:pPr>
        <w:pStyle w:val="Compact"/>
        <w:widowControl/>
        <w:numPr>
          <w:ilvl w:val="0"/>
          <w:numId w:val="933"/>
        </w:numPr>
        <w:rPr/>
      </w:pPr>
      <w:r>
        <w:rPr/>
        <w:t>gross user fees;</w:t>
      </w:r>
    </w:p>
    <w:p>
      <w:pPr>
        <w:pStyle w:val="Compact"/>
        <w:widowControl/>
        <w:numPr>
          <w:ilvl w:val="0"/>
          <w:numId w:val="934"/>
        </w:numPr>
        <w:rPr/>
      </w:pPr>
      <w:r>
        <w:rPr/>
        <w:t>protocol revenue under a published accounting definition;</w:t>
      </w:r>
    </w:p>
    <w:p>
      <w:pPr>
        <w:pStyle w:val="Compact"/>
        <w:widowControl/>
        <w:numPr>
          <w:ilvl w:val="0"/>
          <w:numId w:val="935"/>
        </w:numPr>
        <w:rPr/>
      </w:pPr>
      <w:r>
        <w:rPr/>
        <w:t>revenue growth and persistence;</w:t>
      </w:r>
    </w:p>
    <w:p>
      <w:pPr>
        <w:pStyle w:val="Compact"/>
        <w:widowControl/>
        <w:numPr>
          <w:ilvl w:val="0"/>
          <w:numId w:val="936"/>
        </w:numPr>
        <w:rPr/>
      </w:pPr>
      <w:r>
        <w:rPr/>
        <w:t>fee concentration by application or user segment;</w:t>
      </w:r>
    </w:p>
    <w:p>
      <w:pPr>
        <w:pStyle w:val="Compact"/>
        <w:widowControl/>
        <w:numPr>
          <w:ilvl w:val="0"/>
          <w:numId w:val="937"/>
        </w:numPr>
        <w:rPr/>
      </w:pPr>
      <w:r>
        <w:rPr/>
        <w:t>fee subsidy and rebate offsets;</w:t>
      </w:r>
    </w:p>
    <w:p>
      <w:pPr>
        <w:pStyle w:val="Compact"/>
        <w:widowControl/>
        <w:numPr>
          <w:ilvl w:val="0"/>
          <w:numId w:val="938"/>
        </w:numPr>
        <w:rPr/>
      </w:pPr>
      <w:r>
        <w:rPr/>
        <w:t>revenue relative to security cost and settled value.</w:t>
      </w:r>
    </w:p>
    <w:p>
      <w:pPr>
        <w:pStyle w:val="Normal"/>
        <w:rPr/>
      </w:pPr>
      <w:bookmarkStart w:id="177" w:name="fees-and-protocol-revenue"/>
      <w:r>
        <w:rPr/>
        <w:t>High fees are not automatically positive. The metric uses a combination of demand, retention and affordability. Congestion that prices out normal activity may improve nominal fee revenue but weaken usage quality.</w:t>
      </w:r>
      <w:bookmarkEnd w:id="177"/>
    </w:p>
    <w:p>
      <w:pPr>
        <w:pStyle w:val="Heading2"/>
        <w:keepNext w:val="true"/>
        <w:keepLines/>
        <w:widowControl/>
        <w:rPr/>
      </w:pPr>
      <w:bookmarkStart w:id="178" w:name="__RefHeading___Toc8335_528838595"/>
      <w:bookmarkStart w:id="179" w:name="active-economic-usage"/>
      <w:bookmarkEnd w:id="178"/>
      <w:r>
        <w:rPr/>
        <w:t>11.5 Active economic usage</w:t>
      </w:r>
    </w:p>
    <w:p>
      <w:pPr>
        <w:pStyle w:val="Normal"/>
        <w:rPr/>
      </w:pPr>
      <w:r>
        <w:rPr/>
        <w:t>Active economic usage measures unique and retained participation rather than raw address count. Adapter methods may include:</w:t>
      </w:r>
    </w:p>
    <w:p>
      <w:pPr>
        <w:pStyle w:val="Compact"/>
        <w:widowControl/>
        <w:numPr>
          <w:ilvl w:val="0"/>
          <w:numId w:val="939"/>
        </w:numPr>
        <w:rPr/>
      </w:pPr>
      <w:r>
        <w:rPr/>
        <w:t>active entities or addresses after known system-account filters;</w:t>
      </w:r>
    </w:p>
    <w:p>
      <w:pPr>
        <w:pStyle w:val="Compact"/>
        <w:widowControl/>
        <w:numPr>
          <w:ilvl w:val="0"/>
          <w:numId w:val="940"/>
        </w:numPr>
        <w:rPr/>
      </w:pPr>
      <w:r>
        <w:rPr/>
        <w:t>new, returning and retained cohorts;</w:t>
      </w:r>
    </w:p>
    <w:p>
      <w:pPr>
        <w:pStyle w:val="Compact"/>
        <w:widowControl/>
        <w:numPr>
          <w:ilvl w:val="0"/>
          <w:numId w:val="941"/>
        </w:numPr>
        <w:rPr/>
      </w:pPr>
      <w:r>
        <w:rPr/>
        <w:t>active applications and contracts;</w:t>
      </w:r>
    </w:p>
    <w:p>
      <w:pPr>
        <w:pStyle w:val="Compact"/>
        <w:widowControl/>
        <w:numPr>
          <w:ilvl w:val="0"/>
          <w:numId w:val="942"/>
        </w:numPr>
        <w:rPr/>
      </w:pPr>
      <w:r>
        <w:rPr/>
        <w:t>median transactions per active entity;</w:t>
      </w:r>
    </w:p>
    <w:p>
      <w:pPr>
        <w:pStyle w:val="Compact"/>
        <w:widowControl/>
        <w:numPr>
          <w:ilvl w:val="0"/>
          <w:numId w:val="943"/>
        </w:numPr>
        <w:rPr/>
      </w:pPr>
      <w:r>
        <w:rPr/>
        <w:t>economically meaningful activity thresholds;</w:t>
      </w:r>
    </w:p>
    <w:p>
      <w:pPr>
        <w:pStyle w:val="Compact"/>
        <w:widowControl/>
        <w:numPr>
          <w:ilvl w:val="0"/>
          <w:numId w:val="944"/>
        </w:numPr>
        <w:rPr/>
      </w:pPr>
      <w:r>
        <w:rPr/>
        <w:t>concentration of activity among top entities.</w:t>
      </w:r>
    </w:p>
    <w:p>
      <w:pPr>
        <w:pStyle w:val="Normal"/>
        <w:rPr/>
      </w:pPr>
      <w:r>
        <w:rPr/>
        <w:t xml:space="preserve">Entity clustering is used only when reproducible and clearly labelled. Where addresses cannot be reliably mapped to people, the framework uses the term </w:t>
      </w:r>
      <w:r>
        <w:rPr>
          <w:b/>
          <w:bCs/>
        </w:rPr>
        <w:t>active accounts or entities</w:t>
      </w:r>
      <w:r>
        <w:rPr/>
        <w:t>, not users.</w:t>
      </w:r>
      <w:bookmarkEnd w:id="179"/>
    </w:p>
    <w:p>
      <w:pPr>
        <w:pStyle w:val="Heading2"/>
        <w:keepNext w:val="true"/>
        <w:keepLines/>
        <w:widowControl/>
        <w:rPr/>
      </w:pPr>
      <w:bookmarkStart w:id="180" w:name="__RefHeading___Toc8337_528838595"/>
      <w:bookmarkEnd w:id="180"/>
      <w:r>
        <w:rPr/>
        <w:t>11.6 Value capture and sustainability</w:t>
      </w:r>
    </w:p>
    <w:p>
      <w:pPr>
        <w:pStyle w:val="Normal"/>
        <w:rPr/>
      </w:pPr>
      <w:r>
        <w:rPr/>
        <w:t>A network creates durable value when its economic output contributes to security, maintenance or stakeholders without depending indefinitely on unsustainable emissions.</w:t>
      </w:r>
    </w:p>
    <w:p>
      <w:pPr>
        <w:pStyle w:val="BodyText"/>
        <w:widowControl/>
        <w:rPr/>
      </w:pPr>
      <w:r>
        <w:rPr/>
        <w:t>Evidence may include:</w:t>
      </w:r>
    </w:p>
    <w:p>
      <w:pPr>
        <w:pStyle w:val="Compact"/>
        <w:widowControl/>
        <w:numPr>
          <w:ilvl w:val="0"/>
          <w:numId w:val="945"/>
        </w:numPr>
        <w:rPr/>
      </w:pPr>
      <w:r>
        <w:rPr/>
        <w:t>net protocol income;</w:t>
      </w:r>
    </w:p>
    <w:p>
      <w:pPr>
        <w:pStyle w:val="Compact"/>
        <w:widowControl/>
        <w:numPr>
          <w:ilvl w:val="0"/>
          <w:numId w:val="946"/>
        </w:numPr>
        <w:rPr/>
      </w:pPr>
      <w:r>
        <w:rPr/>
        <w:t>fee burn or supply reduction;</w:t>
      </w:r>
    </w:p>
    <w:p>
      <w:pPr>
        <w:pStyle w:val="Compact"/>
        <w:widowControl/>
        <w:numPr>
          <w:ilvl w:val="0"/>
          <w:numId w:val="947"/>
        </w:numPr>
        <w:rPr/>
      </w:pPr>
      <w:r>
        <w:rPr/>
        <w:t>treasury accumulation from operating activity;</w:t>
      </w:r>
    </w:p>
    <w:p>
      <w:pPr>
        <w:pStyle w:val="Compact"/>
        <w:widowControl/>
        <w:numPr>
          <w:ilvl w:val="0"/>
          <w:numId w:val="948"/>
        </w:numPr>
        <w:rPr/>
      </w:pPr>
      <w:r>
        <w:rPr/>
        <w:t>buybacks funded by revenue;</w:t>
      </w:r>
    </w:p>
    <w:p>
      <w:pPr>
        <w:pStyle w:val="Compact"/>
        <w:widowControl/>
        <w:numPr>
          <w:ilvl w:val="0"/>
          <w:numId w:val="949"/>
        </w:numPr>
        <w:rPr/>
      </w:pPr>
      <w:r>
        <w:rPr/>
        <w:t>staking or mining yield funded by fees rather than dilution;</w:t>
      </w:r>
    </w:p>
    <w:p>
      <w:pPr>
        <w:pStyle w:val="Compact"/>
        <w:widowControl/>
        <w:numPr>
          <w:ilvl w:val="0"/>
          <w:numId w:val="950"/>
        </w:numPr>
        <w:rPr/>
      </w:pPr>
      <w:r>
        <w:rPr/>
        <w:t>revenue-to-incentive ratio;</w:t>
      </w:r>
    </w:p>
    <w:p>
      <w:pPr>
        <w:pStyle w:val="Compact"/>
        <w:widowControl/>
        <w:numPr>
          <w:ilvl w:val="0"/>
          <w:numId w:val="951"/>
        </w:numPr>
        <w:rPr/>
      </w:pPr>
      <w:r>
        <w:rPr/>
        <w:t>security-budget coverage by organic fees;</w:t>
      </w:r>
    </w:p>
    <w:p>
      <w:pPr>
        <w:pStyle w:val="Compact"/>
        <w:widowControl/>
        <w:numPr>
          <w:ilvl w:val="0"/>
          <w:numId w:val="952"/>
        </w:numPr>
        <w:rPr/>
      </w:pPr>
      <w:r>
        <w:rPr/>
        <w:t>dilution-adjusted value accrual.</w:t>
      </w:r>
    </w:p>
    <w:p>
      <w:pPr>
        <w:pStyle w:val="Normal"/>
        <w:rPr/>
      </w:pPr>
      <w:bookmarkStart w:id="181" w:name="value-capture-and-sustainability"/>
      <w:r>
        <w:rPr/>
        <w:t>This component does not assume that every network must burn tokens or distribute revenue. It measures whether the economic design captures enough value to support the system’s stated function.</w:t>
      </w:r>
      <w:bookmarkEnd w:id="181"/>
    </w:p>
    <w:p>
      <w:pPr>
        <w:pStyle w:val="Heading2"/>
        <w:keepNext w:val="true"/>
        <w:keepLines/>
        <w:widowControl/>
        <w:rPr/>
      </w:pPr>
      <w:bookmarkStart w:id="182" w:name="__RefHeading___Toc8339_528838595"/>
      <w:bookmarkEnd w:id="182"/>
      <w:r>
        <w:rPr/>
        <w:t>11.7 Persistence and activity quality</w:t>
      </w:r>
    </w:p>
    <w:p>
      <w:pPr>
        <w:pStyle w:val="Normal"/>
        <w:rPr/>
      </w:pPr>
      <w:r>
        <w:rPr/>
        <w:t>Persistence discounts short-term campaigns and manipulative activity. It considers:</w:t>
      </w:r>
    </w:p>
    <w:p>
      <w:pPr>
        <w:pStyle w:val="Compact"/>
        <w:widowControl/>
        <w:numPr>
          <w:ilvl w:val="0"/>
          <w:numId w:val="953"/>
        </w:numPr>
        <w:rPr/>
      </w:pPr>
      <w:r>
        <w:rPr/>
        <w:t>30-, 90- and 365-day retention;</w:t>
      </w:r>
    </w:p>
    <w:p>
      <w:pPr>
        <w:pStyle w:val="Compact"/>
        <w:widowControl/>
        <w:numPr>
          <w:ilvl w:val="0"/>
          <w:numId w:val="954"/>
        </w:numPr>
        <w:rPr/>
      </w:pPr>
      <w:r>
        <w:rPr/>
        <w:t>activity diversity across applications and categories;</w:t>
      </w:r>
    </w:p>
    <w:p>
      <w:pPr>
        <w:pStyle w:val="Compact"/>
        <w:widowControl/>
        <w:numPr>
          <w:ilvl w:val="0"/>
          <w:numId w:val="955"/>
        </w:numPr>
        <w:rPr/>
      </w:pPr>
      <w:r>
        <w:rPr/>
        <w:t>dependence on token incentives;</w:t>
      </w:r>
    </w:p>
    <w:p>
      <w:pPr>
        <w:pStyle w:val="Compact"/>
        <w:widowControl/>
        <w:numPr>
          <w:ilvl w:val="0"/>
          <w:numId w:val="956"/>
        </w:numPr>
        <w:rPr/>
      </w:pPr>
      <w:r>
        <w:rPr/>
        <w:t>circular transfers and wash-activity indicators;</w:t>
      </w:r>
    </w:p>
    <w:p>
      <w:pPr>
        <w:pStyle w:val="Compact"/>
        <w:widowControl/>
        <w:numPr>
          <w:ilvl w:val="0"/>
          <w:numId w:val="957"/>
        </w:numPr>
        <w:rPr/>
      </w:pPr>
      <w:r>
        <w:rPr/>
        <w:t>stability of settlement and fee generation;</w:t>
      </w:r>
    </w:p>
    <w:p>
      <w:pPr>
        <w:pStyle w:val="Compact"/>
        <w:widowControl/>
        <w:numPr>
          <w:ilvl w:val="0"/>
          <w:numId w:val="958"/>
        </w:numPr>
        <w:rPr/>
      </w:pPr>
      <w:bookmarkStart w:id="183" w:name="persistence-and-activity-quality"/>
      <w:r>
        <w:rPr/>
        <w:t>concentration among a small number of applications or counterparties.</w:t>
      </w:r>
      <w:bookmarkEnd w:id="183"/>
    </w:p>
    <w:p>
      <w:pPr>
        <w:pStyle w:val="Heading2"/>
        <w:keepNext w:val="true"/>
        <w:keepLines/>
        <w:widowControl/>
        <w:rPr/>
      </w:pPr>
      <w:bookmarkStart w:id="184" w:name="__RefHeading___Toc8341_528838595"/>
      <w:bookmarkEnd w:id="184"/>
      <w:r>
        <w:rPr/>
        <w:t>11.8 PoV exclusions</w:t>
      </w:r>
    </w:p>
    <w:p>
      <w:pPr>
        <w:pStyle w:val="Normal"/>
        <w:rPr/>
      </w:pPr>
      <w:r>
        <w:rPr/>
        <w:t>PoV excludes or separately flags:</w:t>
      </w:r>
    </w:p>
    <w:p>
      <w:pPr>
        <w:pStyle w:val="Compact"/>
        <w:widowControl/>
        <w:numPr>
          <w:ilvl w:val="0"/>
          <w:numId w:val="959"/>
        </w:numPr>
        <w:rPr/>
      </w:pPr>
      <w:r>
        <w:rPr/>
        <w:t>internal system transactions that do not represent economic demand;</w:t>
      </w:r>
    </w:p>
    <w:p>
      <w:pPr>
        <w:pStyle w:val="Compact"/>
        <w:widowControl/>
        <w:numPr>
          <w:ilvl w:val="0"/>
          <w:numId w:val="960"/>
        </w:numPr>
        <w:rPr/>
      </w:pPr>
      <w:r>
        <w:rPr/>
        <w:t>duplicated bridge mint and burn events;</w:t>
      </w:r>
    </w:p>
    <w:p>
      <w:pPr>
        <w:pStyle w:val="Compact"/>
        <w:widowControl/>
        <w:numPr>
          <w:ilvl w:val="0"/>
          <w:numId w:val="961"/>
        </w:numPr>
        <w:rPr/>
      </w:pPr>
      <w:r>
        <w:rPr/>
        <w:t>self-transfers and change outputs where identifiable;</w:t>
      </w:r>
    </w:p>
    <w:p>
      <w:pPr>
        <w:pStyle w:val="Compact"/>
        <w:widowControl/>
        <w:numPr>
          <w:ilvl w:val="0"/>
          <w:numId w:val="962"/>
        </w:numPr>
        <w:rPr/>
      </w:pPr>
      <w:r>
        <w:rPr/>
        <w:t>wash trading and circular volume;</w:t>
      </w:r>
    </w:p>
    <w:p>
      <w:pPr>
        <w:pStyle w:val="Compact"/>
        <w:widowControl/>
        <w:numPr>
          <w:ilvl w:val="0"/>
          <w:numId w:val="963"/>
        </w:numPr>
        <w:rPr/>
      </w:pPr>
      <w:r>
        <w:rPr/>
        <w:t>gross revenue before material incentive offsets when net economics are available;</w:t>
      </w:r>
    </w:p>
    <w:p>
      <w:pPr>
        <w:pStyle w:val="Compact"/>
        <w:widowControl/>
        <w:numPr>
          <w:ilvl w:val="0"/>
          <w:numId w:val="964"/>
        </w:numPr>
        <w:rPr/>
      </w:pPr>
      <w:bookmarkStart w:id="185" w:name="pov-exclusions"/>
      <w:r>
        <w:rPr/>
        <w:t>nominal token-value growth caused only by asset-price appreciation.</w:t>
      </w:r>
      <w:bookmarkEnd w:id="185"/>
    </w:p>
    <w:p>
      <w:pPr>
        <w:pStyle w:val="Heading2"/>
        <w:keepNext w:val="true"/>
        <w:keepLines/>
        <w:widowControl/>
        <w:rPr/>
      </w:pPr>
      <w:bookmarkStart w:id="186" w:name="__RefHeading___Toc8343_528838595"/>
      <w:bookmarkEnd w:id="186"/>
      <w:r>
        <w:rPr/>
        <w:t>11.9 Interpretation</w:t>
      </w:r>
    </w:p>
    <w:p>
      <w:pPr>
        <w:pStyle w:val="Normal"/>
        <w:rPr/>
      </w:pPr>
      <w:bookmarkStart w:id="187" w:name="proof-of-value-pov"/>
      <w:bookmarkStart w:id="188" w:name="interpretation-1"/>
      <w:r>
        <w:rPr/>
        <w:t>A high PoV indicates broad, persistent and economically meaningful activity with credible value capture. It does not by itself prove decentralisation, security or resilience; those are measured elsewhere.</w:t>
      </w:r>
      <w:bookmarkEnd w:id="187"/>
      <w:bookmarkEnd w:id="188"/>
    </w:p>
    <w:p>
      <w:pPr>
        <w:pStyle w:val="Heading1"/>
        <w:keepNext w:val="true"/>
        <w:keepLines/>
        <w:widowControl/>
        <w:pBdr>
          <w:bottom w:val="single" w:sz="6" w:space="5" w:color="8AB2BF"/>
        </w:pBdr>
        <w:jc w:val="start"/>
        <w:rPr/>
      </w:pPr>
      <w:bookmarkStart w:id="189" w:name="__RefHeading___Toc8345_528838595"/>
      <w:bookmarkEnd w:id="189"/>
      <w:r>
        <w:rPr/>
        <w:t>12. On-Chain Participation Index (OPI)</w:t>
      </w:r>
    </w:p>
    <w:p>
      <w:pPr>
        <w:pStyle w:val="Heading2"/>
        <w:keepNext w:val="true"/>
        <w:keepLines/>
        <w:widowControl/>
        <w:rPr/>
      </w:pPr>
      <w:bookmarkStart w:id="190" w:name="__RefHeading___Toc8347_528838595"/>
      <w:bookmarkEnd w:id="190"/>
      <w:r>
        <w:rPr/>
        <w:t>12.1 Purpose</w:t>
      </w:r>
    </w:p>
    <w:p>
      <w:pPr>
        <w:pStyle w:val="Normal"/>
        <w:rPr/>
      </w:pPr>
      <w:bookmarkStart w:id="191" w:name="purpose-3"/>
      <w:r>
        <w:rPr/>
        <w:t>OPI measures the breadth and quality of participation in using, securing, governing and developing a network. It treats participation as productive capacity rather than popularity.</w:t>
      </w:r>
      <w:bookmarkEnd w:id="191"/>
    </w:p>
    <w:p>
      <w:pPr>
        <w:pStyle w:val="Heading2"/>
        <w:keepNext w:val="true"/>
        <w:keepLines/>
        <w:widowControl/>
        <w:rPr/>
      </w:pPr>
      <w:bookmarkStart w:id="192" w:name="__RefHeading___Toc8349_528838595"/>
      <w:bookmarkEnd w:id="192"/>
      <w:r>
        <w:rPr/>
        <w:t>12.2 OPI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Active participant breadth</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Diversity and retention of economic participants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Security participation</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Breadth of capital and operators securing the network</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Governance participation</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Meaningful involvement in shared decision-making</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Developer participation</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Active maintenance and productive software development</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Distribution and retention</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Persistence and avoidance of participant concentration</w:t>
            </w:r>
          </w:p>
        </w:tc>
      </w:tr>
    </w:tbl>
    <w:p>
      <w:pPr>
        <w:pStyle w:val="BodyText"/>
        <w:keepLines/>
        <w:spacing w:before="80" w:after="160"/>
        <w:jc w:val="center"/>
        <w:rPr/>
      </w:pPr>
      <w:r>
        <w:rPr/>
        <w:drawing>
          <wp:inline distT="0" distB="0" distL="0" distR="0">
            <wp:extent cx="5623560" cy="285750"/>
            <wp:effectExtent l="0" t="0" r="0" b="0"/>
            <wp:docPr id="22" name="Picture 22" descr="OPI=0.25AP+0.20SP+0.15GP+0.20DP+0.20DR"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PI=0.25AP+0.20SP+0.15GP+0.20DP+0.20DR" title="Equation"/>
                    <pic:cNvPicPr>
                      <a:picLocks noChangeAspect="1" noChangeArrowheads="1"/>
                    </pic:cNvPicPr>
                  </pic:nvPicPr>
                  <pic:blipFill>
                    <a:blip r:embed="rId23"/>
                    <a:stretch>
                      <a:fillRect/>
                    </a:stretch>
                  </pic:blipFill>
                  <pic:spPr bwMode="auto">
                    <a:xfrm>
                      <a:off x="0" y="0"/>
                      <a:ext cx="5623560" cy="285750"/>
                    </a:xfrm>
                    <a:prstGeom prst="rect">
                      <a:avLst/>
                    </a:prstGeom>
                    <a:noFill/>
                  </pic:spPr>
                </pic:pic>
              </a:graphicData>
            </a:graphic>
          </wp:inline>
        </w:drawing>
      </w:r>
    </w:p>
    <w:p>
      <w:pPr>
        <w:pStyle w:val="Heading2"/>
        <w:keepNext w:val="true"/>
        <w:keepLines/>
        <w:widowControl/>
        <w:rPr/>
      </w:pPr>
      <w:bookmarkStart w:id="193" w:name="__RefHeading___Toc8351_528838595"/>
      <w:bookmarkEnd w:id="193"/>
      <w:r>
        <w:rPr/>
        <w:t>12.3 Active participant breadth</w:t>
      </w:r>
    </w:p>
    <w:p>
      <w:pPr>
        <w:pStyle w:val="Normal"/>
        <w:rPr/>
      </w:pPr>
      <w:r>
        <w:rPr/>
        <w:t>This sub-index uses the active-entity data developed for PoV but focuses on distribution rather than output. It examines:</w:t>
      </w:r>
    </w:p>
    <w:p>
      <w:pPr>
        <w:pStyle w:val="Compact"/>
        <w:widowControl/>
        <w:numPr>
          <w:ilvl w:val="0"/>
          <w:numId w:val="965"/>
        </w:numPr>
        <w:rPr/>
      </w:pPr>
      <w:r>
        <w:rPr/>
        <w:t>number of active entities relative to network history and capacity;</w:t>
      </w:r>
    </w:p>
    <w:p>
      <w:pPr>
        <w:pStyle w:val="Compact"/>
        <w:widowControl/>
        <w:numPr>
          <w:ilvl w:val="0"/>
          <w:numId w:val="966"/>
        </w:numPr>
        <w:rPr/>
      </w:pPr>
      <w:r>
        <w:rPr/>
        <w:t>new-to-returning participant balance;</w:t>
      </w:r>
    </w:p>
    <w:p>
      <w:pPr>
        <w:pStyle w:val="Compact"/>
        <w:widowControl/>
        <w:numPr>
          <w:ilvl w:val="0"/>
          <w:numId w:val="967"/>
        </w:numPr>
        <w:rPr/>
      </w:pPr>
      <w:r>
        <w:rPr/>
        <w:t>cohort retention;</w:t>
      </w:r>
    </w:p>
    <w:p>
      <w:pPr>
        <w:pStyle w:val="Compact"/>
        <w:widowControl/>
        <w:numPr>
          <w:ilvl w:val="0"/>
          <w:numId w:val="968"/>
        </w:numPr>
        <w:rPr/>
      </w:pPr>
      <w:r>
        <w:rPr/>
        <w:t>geographic or jurisdictional diversity where verifiable and privacy-preserving;</w:t>
      </w:r>
    </w:p>
    <w:p>
      <w:pPr>
        <w:pStyle w:val="Compact"/>
        <w:widowControl/>
        <w:numPr>
          <w:ilvl w:val="0"/>
          <w:numId w:val="969"/>
        </w:numPr>
        <w:rPr/>
      </w:pPr>
      <w:r>
        <w:rPr/>
        <w:t>participant concentration by activity share;</w:t>
      </w:r>
    </w:p>
    <w:p>
      <w:pPr>
        <w:pStyle w:val="Compact"/>
        <w:widowControl/>
        <w:numPr>
          <w:ilvl w:val="0"/>
          <w:numId w:val="970"/>
        </w:numPr>
        <w:rPr/>
      </w:pPr>
      <w:bookmarkStart w:id="194" w:name="active-participant-breadth"/>
      <w:r>
        <w:rPr/>
        <w:t>diversity of application categories used.</w:t>
      </w:r>
      <w:bookmarkEnd w:id="194"/>
    </w:p>
    <w:p>
      <w:pPr>
        <w:pStyle w:val="Heading2"/>
        <w:keepNext w:val="true"/>
        <w:keepLines/>
        <w:widowControl/>
        <w:rPr/>
      </w:pPr>
      <w:bookmarkStart w:id="195" w:name="__RefHeading___Toc8353_528838595"/>
      <w:bookmarkEnd w:id="195"/>
      <w:r>
        <w:rPr/>
        <w:t>12.4 Security participation</w:t>
      </w:r>
    </w:p>
    <w:p>
      <w:pPr>
        <w:pStyle w:val="Normal"/>
        <w:rPr/>
      </w:pPr>
      <w:r>
        <w:rPr/>
        <w:t>Security participation adapts to consensus architecture.</w:t>
      </w:r>
    </w:p>
    <w:p>
      <w:pPr>
        <w:pStyle w:val="BodyText"/>
        <w:widowControl/>
        <w:rPr/>
      </w:pPr>
      <w:r>
        <w:rPr/>
        <w:t>For proof-of-stake networks, evidence may include active validators, delegated stake, stake participation, effective stake distribution and independent operator count. For proof-of-work networks, evidence may include mining entities, pool distribution, estimated independent operators and work participation. For rollups, evidence may include sequencer operation, prover participation, validator committees and availability of forced inclusion or escape mechanisms.</w:t>
      </w:r>
    </w:p>
    <w:p>
      <w:pPr>
        <w:pStyle w:val="BodyText"/>
        <w:widowControl/>
        <w:rPr/>
      </w:pPr>
      <w:bookmarkStart w:id="196" w:name="security-participation"/>
      <w:r>
        <w:rPr/>
        <w:t>The sub-index rewards broad effective control, not merely a large number of nominal identities.</w:t>
      </w:r>
      <w:bookmarkEnd w:id="196"/>
    </w:p>
    <w:p>
      <w:pPr>
        <w:pStyle w:val="Heading2"/>
        <w:keepNext w:val="true"/>
        <w:keepLines/>
        <w:widowControl/>
        <w:rPr/>
      </w:pPr>
      <w:bookmarkStart w:id="197" w:name="__RefHeading___Toc8355_528838595"/>
      <w:bookmarkEnd w:id="197"/>
      <w:r>
        <w:rPr/>
        <w:t>12.5 Governance participation</w:t>
      </w:r>
    </w:p>
    <w:p>
      <w:pPr>
        <w:pStyle w:val="Normal"/>
        <w:rPr/>
      </w:pPr>
      <w:r>
        <w:rPr/>
        <w:t>Governance evidence may include:</w:t>
      </w:r>
    </w:p>
    <w:p>
      <w:pPr>
        <w:pStyle w:val="Compact"/>
        <w:widowControl/>
        <w:numPr>
          <w:ilvl w:val="0"/>
          <w:numId w:val="971"/>
        </w:numPr>
        <w:rPr/>
      </w:pPr>
      <w:r>
        <w:rPr/>
        <w:t>voter or delegate turnout;</w:t>
      </w:r>
    </w:p>
    <w:p>
      <w:pPr>
        <w:pStyle w:val="Compact"/>
        <w:widowControl/>
        <w:numPr>
          <w:ilvl w:val="0"/>
          <w:numId w:val="972"/>
        </w:numPr>
        <w:rPr/>
      </w:pPr>
      <w:r>
        <w:rPr/>
        <w:t>voting-power concentration;</w:t>
      </w:r>
    </w:p>
    <w:p>
      <w:pPr>
        <w:pStyle w:val="Compact"/>
        <w:widowControl/>
        <w:numPr>
          <w:ilvl w:val="0"/>
          <w:numId w:val="973"/>
        </w:numPr>
        <w:rPr/>
      </w:pPr>
      <w:r>
        <w:rPr/>
        <w:t>proposal diversity and quality;</w:t>
      </w:r>
    </w:p>
    <w:p>
      <w:pPr>
        <w:pStyle w:val="Compact"/>
        <w:widowControl/>
        <w:numPr>
          <w:ilvl w:val="0"/>
          <w:numId w:val="974"/>
        </w:numPr>
        <w:rPr/>
      </w:pPr>
      <w:r>
        <w:rPr/>
        <w:t>deliberation period and transparency;</w:t>
      </w:r>
    </w:p>
    <w:p>
      <w:pPr>
        <w:pStyle w:val="Compact"/>
        <w:widowControl/>
        <w:numPr>
          <w:ilvl w:val="0"/>
          <w:numId w:val="975"/>
        </w:numPr>
        <w:rPr/>
      </w:pPr>
      <w:r>
        <w:rPr/>
        <w:t>execution rate of approved decisions;</w:t>
      </w:r>
    </w:p>
    <w:p>
      <w:pPr>
        <w:pStyle w:val="Compact"/>
        <w:widowControl/>
        <w:numPr>
          <w:ilvl w:val="0"/>
          <w:numId w:val="976"/>
        </w:numPr>
        <w:rPr/>
      </w:pPr>
      <w:r>
        <w:rPr/>
        <w:t>voter retention;</w:t>
      </w:r>
    </w:p>
    <w:p>
      <w:pPr>
        <w:pStyle w:val="Compact"/>
        <w:widowControl/>
        <w:numPr>
          <w:ilvl w:val="0"/>
          <w:numId w:val="977"/>
        </w:numPr>
        <w:rPr/>
      </w:pPr>
      <w:r>
        <w:rPr/>
        <w:t>participation in protocol, treasury or validator governance.</w:t>
      </w:r>
    </w:p>
    <w:p>
      <w:pPr>
        <w:pStyle w:val="Normal"/>
        <w:rPr/>
      </w:pPr>
      <w:bookmarkStart w:id="198" w:name="governance-participation"/>
      <w:r>
        <w:rPr/>
        <w:t>Networks without formal token governance are not automatically deficient. Their adapter measures the actual decision process, including improvement proposals, client governance, miner or validator signalling and transparent social coordination. Confidence falls where decision authority cannot be observed.</w:t>
      </w:r>
      <w:bookmarkEnd w:id="198"/>
    </w:p>
    <w:p>
      <w:pPr>
        <w:pStyle w:val="Heading2"/>
        <w:keepNext w:val="true"/>
        <w:keepLines/>
        <w:widowControl/>
        <w:rPr/>
      </w:pPr>
      <w:bookmarkStart w:id="199" w:name="__RefHeading___Toc8357_528838595"/>
      <w:bookmarkEnd w:id="199"/>
      <w:r>
        <w:rPr/>
        <w:t>12.6 Developer participation</w:t>
      </w:r>
    </w:p>
    <w:p>
      <w:pPr>
        <w:pStyle w:val="Normal"/>
        <w:rPr/>
      </w:pPr>
      <w:r>
        <w:rPr/>
        <w:t>Developer participation measures sustained productive work rather than total commits. Evidence may include:</w:t>
      </w:r>
    </w:p>
    <w:p>
      <w:pPr>
        <w:pStyle w:val="Compact"/>
        <w:widowControl/>
        <w:numPr>
          <w:ilvl w:val="0"/>
          <w:numId w:val="978"/>
        </w:numPr>
        <w:rPr/>
      </w:pPr>
      <w:r>
        <w:rPr/>
        <w:t>active core and ecosystem developers;</w:t>
      </w:r>
    </w:p>
    <w:p>
      <w:pPr>
        <w:pStyle w:val="Compact"/>
        <w:widowControl/>
        <w:numPr>
          <w:ilvl w:val="0"/>
          <w:numId w:val="979"/>
        </w:numPr>
        <w:rPr/>
      </w:pPr>
      <w:r>
        <w:rPr/>
        <w:t>contributor retention;</w:t>
      </w:r>
    </w:p>
    <w:p>
      <w:pPr>
        <w:pStyle w:val="Compact"/>
        <w:widowControl/>
        <w:numPr>
          <w:ilvl w:val="0"/>
          <w:numId w:val="980"/>
        </w:numPr>
        <w:rPr/>
      </w:pPr>
      <w:r>
        <w:rPr/>
        <w:t>unique organisations contributing;</w:t>
      </w:r>
    </w:p>
    <w:p>
      <w:pPr>
        <w:pStyle w:val="Compact"/>
        <w:widowControl/>
        <w:numPr>
          <w:ilvl w:val="0"/>
          <w:numId w:val="981"/>
        </w:numPr>
        <w:rPr/>
      </w:pPr>
      <w:r>
        <w:rPr/>
        <w:t>reviewed and merged changes;</w:t>
      </w:r>
    </w:p>
    <w:p>
      <w:pPr>
        <w:pStyle w:val="Compact"/>
        <w:widowControl/>
        <w:numPr>
          <w:ilvl w:val="0"/>
          <w:numId w:val="982"/>
        </w:numPr>
        <w:rPr/>
      </w:pPr>
      <w:r>
        <w:rPr/>
        <w:t>release cadence and maintenance responsiveness;</w:t>
      </w:r>
    </w:p>
    <w:p>
      <w:pPr>
        <w:pStyle w:val="Compact"/>
        <w:widowControl/>
        <w:numPr>
          <w:ilvl w:val="0"/>
          <w:numId w:val="983"/>
        </w:numPr>
        <w:rPr/>
      </w:pPr>
      <w:r>
        <w:rPr/>
        <w:t>dependency and client diversity;</w:t>
      </w:r>
    </w:p>
    <w:p>
      <w:pPr>
        <w:pStyle w:val="Compact"/>
        <w:widowControl/>
        <w:numPr>
          <w:ilvl w:val="0"/>
          <w:numId w:val="984"/>
        </w:numPr>
        <w:rPr/>
      </w:pPr>
      <w:r>
        <w:rPr/>
        <w:t>documentation, tooling and application deployment.</w:t>
      </w:r>
    </w:p>
    <w:p>
      <w:pPr>
        <w:pStyle w:val="Normal"/>
        <w:rPr/>
      </w:pPr>
      <w:bookmarkStart w:id="200" w:name="developer-participation"/>
      <w:r>
        <w:rPr/>
        <w:t>Automated commits, generated files, forks and mirrored repositories are filtered where possible. Developer identities are aggregated in a privacy-conscious manner.</w:t>
      </w:r>
      <w:bookmarkEnd w:id="200"/>
    </w:p>
    <w:p>
      <w:pPr>
        <w:pStyle w:val="Heading2"/>
        <w:keepNext w:val="true"/>
        <w:keepLines/>
        <w:widowControl/>
        <w:rPr/>
      </w:pPr>
      <w:bookmarkStart w:id="201" w:name="__RefHeading___Toc8359_528838595"/>
      <w:bookmarkEnd w:id="201"/>
      <w:r>
        <w:rPr/>
        <w:t>12.7 Distribution and retention</w:t>
      </w:r>
    </w:p>
    <w:p>
      <w:pPr>
        <w:pStyle w:val="Normal"/>
        <w:rPr/>
      </w:pPr>
      <w:r>
        <w:rPr/>
        <w:t>This sub-index reduces scores for participation dominated by a small set of users, validators, delegates, developers or applications. It combines Gini, Herfindahl-Hirschman or top-share measures with retention across time.</w:t>
      </w:r>
    </w:p>
    <w:p>
      <w:pPr>
        <w:pStyle w:val="BodyText"/>
        <w:widowControl/>
        <w:rPr/>
      </w:pPr>
      <w:bookmarkStart w:id="202" w:name="distribution-and-retention"/>
      <w:r>
        <w:rPr/>
        <w:t>Because concentration measures can be sensitive to identity clustering, the adapter publishes both raw-identity and identified-entity results when available.</w:t>
      </w:r>
      <w:bookmarkEnd w:id="202"/>
    </w:p>
    <w:p>
      <w:pPr>
        <w:pStyle w:val="Heading2"/>
        <w:keepNext w:val="true"/>
        <w:keepLines/>
        <w:widowControl/>
        <w:rPr/>
      </w:pPr>
      <w:bookmarkStart w:id="203" w:name="__RefHeading___Toc8361_528838595"/>
      <w:bookmarkEnd w:id="203"/>
      <w:r>
        <w:rPr/>
        <w:t>12.8 Interpretation</w:t>
      </w:r>
    </w:p>
    <w:p>
      <w:pPr>
        <w:pStyle w:val="Normal"/>
        <w:rPr/>
      </w:pPr>
      <w:bookmarkStart w:id="204" w:name="on-chain-participation-index-opi"/>
      <w:bookmarkStart w:id="205" w:name="interpretation-2"/>
      <w:r>
        <w:rPr/>
        <w:t>A high OPI indicates that the network is actively maintained and used by a broad, persistent set of participants. It does not mean all governance decisions are good; it measures participation quality and distribution, while PII and VRS capture institutional and control risks.</w:t>
      </w:r>
      <w:bookmarkEnd w:id="204"/>
      <w:bookmarkEnd w:id="205"/>
    </w:p>
    <w:p>
      <w:pPr>
        <w:pStyle w:val="Heading1"/>
        <w:keepNext w:val="true"/>
        <w:keepLines/>
        <w:widowControl/>
        <w:pBdr>
          <w:bottom w:val="single" w:sz="6" w:space="5" w:color="8AB2BF"/>
        </w:pBdr>
        <w:jc w:val="start"/>
        <w:rPr/>
      </w:pPr>
      <w:bookmarkStart w:id="206" w:name="__RefHeading___Toc8363_528838595"/>
      <w:bookmarkEnd w:id="206"/>
      <w:r>
        <w:rPr/>
        <w:t>13. Decentralised Liquidity Index (DLI)</w:t>
      </w:r>
    </w:p>
    <w:p>
      <w:pPr>
        <w:pStyle w:val="Heading2"/>
        <w:keepNext w:val="true"/>
        <w:keepLines/>
        <w:widowControl/>
        <w:rPr/>
      </w:pPr>
      <w:bookmarkStart w:id="207" w:name="__RefHeading___Toc8365_528838595"/>
      <w:bookmarkEnd w:id="207"/>
      <w:r>
        <w:rPr/>
        <w:t>13.1 Purpose</w:t>
      </w:r>
    </w:p>
    <w:p>
      <w:pPr>
        <w:pStyle w:val="Normal"/>
        <w:rPr/>
      </w:pPr>
      <w:bookmarkStart w:id="208" w:name="purpose-4"/>
      <w:r>
        <w:rPr/>
        <w:t>DLI measures whether a network supports usable, diversified and resilient on-chain liquidity. It is independent of any future VOX market. This prevents a circular dependency in which VOX liquidity would determine the VTS used to authorise VOX.</w:t>
      </w:r>
      <w:bookmarkEnd w:id="208"/>
    </w:p>
    <w:p>
      <w:pPr>
        <w:pStyle w:val="Heading2"/>
        <w:keepNext w:val="true"/>
        <w:keepLines/>
        <w:widowControl/>
        <w:rPr/>
      </w:pPr>
      <w:bookmarkStart w:id="209" w:name="__RefHeading___Toc8367_528838595"/>
      <w:bookmarkEnd w:id="209"/>
      <w:r>
        <w:rPr/>
        <w:t>13.2 DLI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Executable depth</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Capital available near market prices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Slippage efficiency</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Price impact for standardised trade sizes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Volume quality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Organic and persistent trading activity</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Venue and asset diversity</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Breadth of markets and liquidity sources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Concentration and stress resilience</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Ability to retain function under withdrawals and volatility</w:t>
            </w:r>
          </w:p>
        </w:tc>
      </w:tr>
    </w:tbl>
    <w:p>
      <w:pPr>
        <w:pStyle w:val="BodyText"/>
        <w:keepLines/>
        <w:spacing w:before="80" w:after="160"/>
        <w:jc w:val="center"/>
        <w:rPr/>
      </w:pPr>
      <w:r>
        <w:rPr/>
        <w:drawing>
          <wp:inline distT="0" distB="0" distL="0" distR="0">
            <wp:extent cx="5623560" cy="295275"/>
            <wp:effectExtent l="0" t="0" r="0" b="0"/>
            <wp:docPr id="23" name="Picture 23" descr="DLI=0.25ED+0.25SE+0.15VQ+0.15VD+0.20CR"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LI=0.25ED+0.25SE+0.15VQ+0.15VD+0.20CR" title="Equation"/>
                    <pic:cNvPicPr>
                      <a:picLocks noChangeAspect="1" noChangeArrowheads="1"/>
                    </pic:cNvPicPr>
                  </pic:nvPicPr>
                  <pic:blipFill>
                    <a:blip r:embed="rId24"/>
                    <a:stretch>
                      <a:fillRect/>
                    </a:stretch>
                  </pic:blipFill>
                  <pic:spPr bwMode="auto">
                    <a:xfrm>
                      <a:off x="0" y="0"/>
                      <a:ext cx="5623560" cy="295275"/>
                    </a:xfrm>
                    <a:prstGeom prst="rect">
                      <a:avLst/>
                    </a:prstGeom>
                    <a:noFill/>
                  </pic:spPr>
                </pic:pic>
              </a:graphicData>
            </a:graphic>
          </wp:inline>
        </w:drawing>
      </w:r>
    </w:p>
    <w:p>
      <w:pPr>
        <w:pStyle w:val="Heading2"/>
        <w:keepNext w:val="true"/>
        <w:keepLines/>
        <w:widowControl/>
        <w:rPr/>
      </w:pPr>
      <w:bookmarkStart w:id="210" w:name="__RefHeading___Toc8369_528838595"/>
      <w:bookmarkEnd w:id="210"/>
      <w:r>
        <w:rPr/>
        <w:t>13.3 Executable depth</w:t>
      </w:r>
    </w:p>
    <w:p>
      <w:pPr>
        <w:pStyle w:val="Normal"/>
        <w:rPr/>
      </w:pPr>
      <w:r>
        <w:rPr/>
        <w:t>Total value locked is not executable depth. DLI simulates or observes liquidity available within defined price-impact bands for representative assets and trade sizes. Measurements may include:</w:t>
      </w:r>
    </w:p>
    <w:p>
      <w:pPr>
        <w:pStyle w:val="Compact"/>
        <w:widowControl/>
        <w:numPr>
          <w:ilvl w:val="0"/>
          <w:numId w:val="985"/>
        </w:numPr>
        <w:rPr/>
      </w:pPr>
      <w:r>
        <w:rPr/>
        <w:t>depth within 0.5%, 1% and 2% price impact;</w:t>
      </w:r>
    </w:p>
    <w:p>
      <w:pPr>
        <w:pStyle w:val="Compact"/>
        <w:widowControl/>
        <w:numPr>
          <w:ilvl w:val="0"/>
          <w:numId w:val="986"/>
        </w:numPr>
        <w:rPr/>
      </w:pPr>
      <w:r>
        <w:rPr/>
        <w:t>depth relative to market capitalisation and daily volume;</w:t>
      </w:r>
    </w:p>
    <w:p>
      <w:pPr>
        <w:pStyle w:val="Compact"/>
        <w:widowControl/>
        <w:numPr>
          <w:ilvl w:val="0"/>
          <w:numId w:val="987"/>
        </w:numPr>
        <w:rPr/>
      </w:pPr>
      <w:r>
        <w:rPr/>
        <w:t>stablecoin-to-native, stablecoin-to-stablecoin and major application markets;</w:t>
      </w:r>
    </w:p>
    <w:p>
      <w:pPr>
        <w:pStyle w:val="Compact"/>
        <w:widowControl/>
        <w:numPr>
          <w:ilvl w:val="0"/>
          <w:numId w:val="988"/>
        </w:numPr>
        <w:rPr/>
      </w:pPr>
      <w:r>
        <w:rPr/>
        <w:t>lending liquidity available without extreme utilisation changes;</w:t>
      </w:r>
    </w:p>
    <w:p>
      <w:pPr>
        <w:pStyle w:val="Compact"/>
        <w:widowControl/>
        <w:numPr>
          <w:ilvl w:val="0"/>
          <w:numId w:val="989"/>
        </w:numPr>
        <w:rPr/>
      </w:pPr>
      <w:bookmarkStart w:id="211" w:name="executable-depth"/>
      <w:r>
        <w:rPr/>
        <w:t>derivative open interest supported by credible collateral and liquidation capacity.</w:t>
      </w:r>
      <w:bookmarkEnd w:id="211"/>
    </w:p>
    <w:p>
      <w:pPr>
        <w:pStyle w:val="Heading2"/>
        <w:keepNext w:val="true"/>
        <w:keepLines/>
        <w:widowControl/>
        <w:rPr/>
      </w:pPr>
      <w:bookmarkStart w:id="212" w:name="__RefHeading___Toc8371_528838595"/>
      <w:bookmarkEnd w:id="212"/>
      <w:r>
        <w:rPr/>
        <w:t>13.4 Slippage efficiency</w:t>
      </w:r>
    </w:p>
    <w:p>
      <w:pPr>
        <w:pStyle w:val="Normal"/>
        <w:rPr/>
      </w:pPr>
      <w:r>
        <w:rPr/>
        <w:t>Slippage is a negative-direction metric. Standard trade sizes may be defined as both absolute reference amounts and proportions of market liquidity. The adapter reports routing assumptions, venues, gas costs and whether prices are quoted from simulations or executed trades.</w:t>
      </w:r>
    </w:p>
    <w:p>
      <w:pPr>
        <w:pStyle w:val="BodyText"/>
        <w:widowControl/>
        <w:rPr/>
      </w:pPr>
      <w:bookmarkStart w:id="213" w:name="slippage-efficiency"/>
      <w:r>
        <w:rPr/>
        <w:t>A network does not receive a high score merely because its native asset has a liquid centralised market. DLI measures on-chain or protocol-integrated financial depth within the canonical network scope.</w:t>
      </w:r>
      <w:bookmarkEnd w:id="213"/>
    </w:p>
    <w:p>
      <w:pPr>
        <w:pStyle w:val="Heading2"/>
        <w:keepNext w:val="true"/>
        <w:keepLines/>
        <w:widowControl/>
        <w:rPr/>
      </w:pPr>
      <w:bookmarkStart w:id="214" w:name="__RefHeading___Toc8373_528838595"/>
      <w:bookmarkEnd w:id="214"/>
      <w:r>
        <w:rPr/>
        <w:t>13.5 Volume quality</w:t>
      </w:r>
    </w:p>
    <w:p>
      <w:pPr>
        <w:pStyle w:val="Normal"/>
        <w:rPr/>
      </w:pPr>
      <w:r>
        <w:rPr/>
        <w:t>Volume quality filters wash trading, self-routing, excessive incentive dependence and short-lived spikes. It measures:</w:t>
      </w:r>
    </w:p>
    <w:p>
      <w:pPr>
        <w:pStyle w:val="Compact"/>
        <w:widowControl/>
        <w:numPr>
          <w:ilvl w:val="0"/>
          <w:numId w:val="990"/>
        </w:numPr>
        <w:rPr/>
      </w:pPr>
      <w:r>
        <w:rPr/>
        <w:t>persistent organic volume;</w:t>
      </w:r>
    </w:p>
    <w:p>
      <w:pPr>
        <w:pStyle w:val="Compact"/>
        <w:widowControl/>
        <w:numPr>
          <w:ilvl w:val="0"/>
          <w:numId w:val="991"/>
        </w:numPr>
        <w:rPr/>
      </w:pPr>
      <w:r>
        <w:rPr/>
        <w:t>unique trading entities where observable;</w:t>
      </w:r>
    </w:p>
    <w:p>
      <w:pPr>
        <w:pStyle w:val="Compact"/>
        <w:widowControl/>
        <w:numPr>
          <w:ilvl w:val="0"/>
          <w:numId w:val="992"/>
        </w:numPr>
        <w:rPr/>
      </w:pPr>
      <w:r>
        <w:rPr/>
        <w:t>fee-generating volume;</w:t>
      </w:r>
    </w:p>
    <w:p>
      <w:pPr>
        <w:pStyle w:val="Compact"/>
        <w:widowControl/>
        <w:numPr>
          <w:ilvl w:val="0"/>
          <w:numId w:val="993"/>
        </w:numPr>
        <w:rPr/>
      </w:pPr>
      <w:r>
        <w:rPr/>
        <w:t>volume-to-incentive ratio;</w:t>
      </w:r>
    </w:p>
    <w:p>
      <w:pPr>
        <w:pStyle w:val="Compact"/>
        <w:widowControl/>
        <w:numPr>
          <w:ilvl w:val="0"/>
          <w:numId w:val="994"/>
        </w:numPr>
        <w:rPr/>
      </w:pPr>
      <w:r>
        <w:rPr/>
        <w:t>volume distribution across assets and venues;</w:t>
      </w:r>
    </w:p>
    <w:p>
      <w:pPr>
        <w:pStyle w:val="Compact"/>
        <w:widowControl/>
        <w:numPr>
          <w:ilvl w:val="0"/>
          <w:numId w:val="995"/>
        </w:numPr>
        <w:rPr/>
      </w:pPr>
      <w:bookmarkStart w:id="215" w:name="volume-quality"/>
      <w:r>
        <w:rPr/>
        <w:t>consistency during volatile periods.</w:t>
      </w:r>
      <w:bookmarkEnd w:id="215"/>
    </w:p>
    <w:p>
      <w:pPr>
        <w:pStyle w:val="Heading2"/>
        <w:keepNext w:val="true"/>
        <w:keepLines/>
        <w:widowControl/>
        <w:rPr/>
      </w:pPr>
      <w:bookmarkStart w:id="216" w:name="__RefHeading___Toc8375_528838595"/>
      <w:bookmarkEnd w:id="216"/>
      <w:r>
        <w:rPr/>
        <w:t>13.6 Venue and asset diversity</w:t>
      </w:r>
    </w:p>
    <w:p>
      <w:pPr>
        <w:pStyle w:val="Normal"/>
        <w:rPr/>
      </w:pPr>
      <w:r>
        <w:rPr/>
        <w:t>Liquidity concentrated in one contract, one stablecoin or one external bridge is fragile. Diversity considers:</w:t>
      </w:r>
    </w:p>
    <w:p>
      <w:pPr>
        <w:pStyle w:val="Compact"/>
        <w:widowControl/>
        <w:numPr>
          <w:ilvl w:val="0"/>
          <w:numId w:val="996"/>
        </w:numPr>
        <w:rPr/>
      </w:pPr>
      <w:r>
        <w:rPr/>
        <w:t>independent exchange and lending venues;</w:t>
      </w:r>
    </w:p>
    <w:p>
      <w:pPr>
        <w:pStyle w:val="Compact"/>
        <w:widowControl/>
        <w:numPr>
          <w:ilvl w:val="0"/>
          <w:numId w:val="997"/>
        </w:numPr>
        <w:rPr/>
      </w:pPr>
      <w:r>
        <w:rPr/>
        <w:t>asset categories and quote assets;</w:t>
      </w:r>
    </w:p>
    <w:p>
      <w:pPr>
        <w:pStyle w:val="Compact"/>
        <w:widowControl/>
        <w:numPr>
          <w:ilvl w:val="0"/>
          <w:numId w:val="998"/>
        </w:numPr>
        <w:rPr/>
      </w:pPr>
      <w:r>
        <w:rPr/>
        <w:t>stablecoin issuer concentration;</w:t>
      </w:r>
    </w:p>
    <w:p>
      <w:pPr>
        <w:pStyle w:val="Compact"/>
        <w:widowControl/>
        <w:numPr>
          <w:ilvl w:val="0"/>
          <w:numId w:val="999"/>
        </w:numPr>
        <w:rPr/>
      </w:pPr>
      <w:r>
        <w:rPr/>
        <w:t>oracle and bridge dependencies;</w:t>
      </w:r>
    </w:p>
    <w:p>
      <w:pPr>
        <w:pStyle w:val="Compact"/>
        <w:widowControl/>
        <w:numPr>
          <w:ilvl w:val="0"/>
          <w:numId w:val="1000"/>
        </w:numPr>
        <w:rPr/>
      </w:pPr>
      <w:r>
        <w:rPr/>
        <w:t>market-maker or liquidity-provider concentration;</w:t>
      </w:r>
    </w:p>
    <w:p>
      <w:pPr>
        <w:pStyle w:val="Compact"/>
        <w:widowControl/>
        <w:numPr>
          <w:ilvl w:val="0"/>
          <w:numId w:val="1001"/>
        </w:numPr>
        <w:rPr/>
      </w:pPr>
      <w:r>
        <w:rPr/>
        <w:t>interoperability across venues.</w:t>
      </w:r>
    </w:p>
    <w:p>
      <w:pPr>
        <w:pStyle w:val="Normal"/>
        <w:rPr/>
      </w:pPr>
      <w:bookmarkStart w:id="217" w:name="venue-and-asset-diversity"/>
      <w:r>
        <w:rPr/>
        <w:t>Diversity does not reward redundant forks controlled by the same entity.</w:t>
      </w:r>
      <w:bookmarkEnd w:id="217"/>
    </w:p>
    <w:p>
      <w:pPr>
        <w:pStyle w:val="Heading2"/>
        <w:keepNext w:val="true"/>
        <w:keepLines/>
        <w:widowControl/>
        <w:rPr/>
      </w:pPr>
      <w:bookmarkStart w:id="218" w:name="__RefHeading___Toc8377_528838595"/>
      <w:bookmarkEnd w:id="218"/>
      <w:r>
        <w:rPr/>
        <w:t>13.7 Concentration and stress resilience</w:t>
      </w:r>
    </w:p>
    <w:p>
      <w:pPr>
        <w:pStyle w:val="Normal"/>
        <w:rPr/>
      </w:pPr>
      <w:r>
        <w:rPr/>
        <w:t>This component tests how liquidity behaves under stress. Evidence may include:</w:t>
      </w:r>
    </w:p>
    <w:p>
      <w:pPr>
        <w:pStyle w:val="Compact"/>
        <w:widowControl/>
        <w:numPr>
          <w:ilvl w:val="0"/>
          <w:numId w:val="1002"/>
        </w:numPr>
        <w:rPr/>
      </w:pPr>
      <w:r>
        <w:rPr/>
        <w:t>top-provider and top-pool share;</w:t>
      </w:r>
    </w:p>
    <w:p>
      <w:pPr>
        <w:pStyle w:val="Compact"/>
        <w:widowControl/>
        <w:numPr>
          <w:ilvl w:val="0"/>
          <w:numId w:val="1003"/>
        </w:numPr>
        <w:rPr/>
      </w:pPr>
      <w:r>
        <w:rPr/>
        <w:t>withdrawal simulations;</w:t>
      </w:r>
    </w:p>
    <w:p>
      <w:pPr>
        <w:pStyle w:val="Compact"/>
        <w:widowControl/>
        <w:numPr>
          <w:ilvl w:val="0"/>
          <w:numId w:val="1004"/>
        </w:numPr>
        <w:rPr/>
      </w:pPr>
      <w:r>
        <w:rPr/>
        <w:t>historical drawdown in depth;</w:t>
      </w:r>
    </w:p>
    <w:p>
      <w:pPr>
        <w:pStyle w:val="Compact"/>
        <w:widowControl/>
        <w:numPr>
          <w:ilvl w:val="0"/>
          <w:numId w:val="1005"/>
        </w:numPr>
        <w:rPr/>
      </w:pPr>
      <w:r>
        <w:rPr/>
        <w:t>slippage during major market shocks;</w:t>
      </w:r>
    </w:p>
    <w:p>
      <w:pPr>
        <w:pStyle w:val="Compact"/>
        <w:widowControl/>
        <w:numPr>
          <w:ilvl w:val="0"/>
          <w:numId w:val="1006"/>
        </w:numPr>
        <w:rPr/>
      </w:pPr>
      <w:r>
        <w:rPr/>
        <w:t>liquidation performance;</w:t>
      </w:r>
    </w:p>
    <w:p>
      <w:pPr>
        <w:pStyle w:val="Compact"/>
        <w:widowControl/>
        <w:numPr>
          <w:ilvl w:val="0"/>
          <w:numId w:val="1007"/>
        </w:numPr>
        <w:rPr/>
      </w:pPr>
      <w:bookmarkStart w:id="219" w:name="concentration-and-stress-resilience"/>
      <w:r>
        <w:rPr/>
        <w:t>recovery time after exploits, de-pegs or bridge interruptions.</w:t>
      </w:r>
      <w:bookmarkEnd w:id="219"/>
    </w:p>
    <w:p>
      <w:pPr>
        <w:pStyle w:val="Heading2"/>
        <w:keepNext w:val="true"/>
        <w:keepLines/>
        <w:widowControl/>
        <w:rPr/>
      </w:pPr>
      <w:bookmarkStart w:id="220" w:name="__RefHeading___Toc8379_528838595"/>
      <w:bookmarkEnd w:id="220"/>
      <w:r>
        <w:rPr/>
        <w:t>13.8 Canonical asset treatment</w:t>
      </w:r>
    </w:p>
    <w:p>
      <w:pPr>
        <w:pStyle w:val="Normal"/>
        <w:rPr/>
      </w:pPr>
      <w:bookmarkStart w:id="221" w:name="canonical-asset-treatment"/>
      <w:r>
        <w:rPr/>
        <w:t>Wrapped and bridged assets require explicit attribution. DLI records origin-chain dependency, bridge mechanism and redemption risk. The same underlying liquidity cannot be counted as independent depth on multiple networks without adjustment.</w:t>
      </w:r>
      <w:bookmarkEnd w:id="221"/>
    </w:p>
    <w:p>
      <w:pPr>
        <w:pStyle w:val="Heading2"/>
        <w:keepNext w:val="true"/>
        <w:keepLines/>
        <w:widowControl/>
        <w:rPr/>
      </w:pPr>
      <w:bookmarkStart w:id="222" w:name="__RefHeading___Toc8381_528838595"/>
      <w:bookmarkEnd w:id="222"/>
      <w:r>
        <w:rPr/>
        <w:t>13.9 Interpretation</w:t>
      </w:r>
    </w:p>
    <w:p>
      <w:pPr>
        <w:pStyle w:val="Normal"/>
        <w:rPr/>
      </w:pPr>
      <w:bookmarkStart w:id="223" w:name="decentralised-liquidity-index-dli"/>
      <w:bookmarkStart w:id="224" w:name="interpretation-3"/>
      <w:r>
        <w:rPr/>
        <w:t>A high DLI indicates that meaningful value can be exchanged with limited price impact across diversified venues and that liquidity has demonstrated resilience. It does not guarantee future liquidity or remove smart-contract, oracle, stablecoin or bridge risk.</w:t>
      </w:r>
      <w:bookmarkEnd w:id="223"/>
      <w:bookmarkEnd w:id="224"/>
    </w:p>
    <w:p>
      <w:pPr>
        <w:pStyle w:val="Heading1"/>
        <w:keepNext w:val="true"/>
        <w:keepLines/>
        <w:widowControl/>
        <w:pBdr>
          <w:bottom w:val="single" w:sz="6" w:space="5" w:color="8AB2BF"/>
        </w:pBdr>
        <w:jc w:val="start"/>
        <w:rPr/>
      </w:pPr>
      <w:bookmarkStart w:id="225" w:name="__RefHeading___Toc8383_528838595"/>
      <w:bookmarkEnd w:id="225"/>
      <w:r>
        <w:rPr/>
        <w:t>14. Protocol Integrity Index (PII)</w:t>
      </w:r>
    </w:p>
    <w:p>
      <w:pPr>
        <w:pStyle w:val="Heading2"/>
        <w:keepNext w:val="true"/>
        <w:keepLines/>
        <w:widowControl/>
        <w:rPr/>
      </w:pPr>
      <w:bookmarkStart w:id="226" w:name="__RefHeading___Toc8385_528838595"/>
      <w:bookmarkEnd w:id="226"/>
      <w:r>
        <w:rPr/>
        <w:t>14.1 Purpose</w:t>
      </w:r>
    </w:p>
    <w:p>
      <w:pPr>
        <w:pStyle w:val="Normal"/>
        <w:rPr/>
      </w:pPr>
      <w:bookmarkStart w:id="227" w:name="purpose-5"/>
      <w:r>
        <w:rPr/>
        <w:t>PII measures the current structural integrity of the protocol: security, decentralisation, availability, operational discipline and controlled upgrade capability. It replaces the earlier Public Trust Index, which mixed objective protocol evidence with subjective sentiment.</w:t>
      </w:r>
      <w:bookmarkEnd w:id="227"/>
    </w:p>
    <w:p>
      <w:pPr>
        <w:pStyle w:val="Heading2"/>
        <w:keepNext w:val="true"/>
        <w:keepLines/>
        <w:widowControl/>
        <w:rPr/>
      </w:pPr>
      <w:bookmarkStart w:id="228" w:name="__RefHeading___Toc8387_528838595"/>
      <w:bookmarkEnd w:id="228"/>
      <w:r>
        <w:rPr/>
        <w:t>14.2 PII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Security track record</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Resistance to exploits and effective remediation</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Consensus and control decentralisation</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Distribution of effective system control</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Infrastructure diversity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Independence across clients, hosting and critical services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Availability and finality</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Reliable production and settlement</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Governance and upgrade integrity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Transparent, constrained and recoverable protocol change</w:t>
            </w:r>
          </w:p>
        </w:tc>
      </w:tr>
    </w:tbl>
    <w:p>
      <w:pPr>
        <w:pStyle w:val="BodyText"/>
        <w:keepLines/>
        <w:spacing w:before="80" w:after="160"/>
        <w:jc w:val="center"/>
        <w:rPr/>
      </w:pPr>
      <w:r>
        <w:rPr/>
        <w:drawing>
          <wp:inline distT="0" distB="0" distL="0" distR="0">
            <wp:extent cx="5420995" cy="287020"/>
            <wp:effectExtent l="0" t="0" r="0" b="0"/>
            <wp:docPr id="24" name="Picture 24" descr="PII=0.25ST+0.20CD+0.15ID+0.20AF+0.20GI"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II=0.25ST+0.20CD+0.15ID+0.20AF+0.20GI" title="Equation"/>
                    <pic:cNvPicPr>
                      <a:picLocks noChangeAspect="1" noChangeArrowheads="1"/>
                    </pic:cNvPicPr>
                  </pic:nvPicPr>
                  <pic:blipFill>
                    <a:blip r:embed="rId25"/>
                    <a:stretch>
                      <a:fillRect/>
                    </a:stretch>
                  </pic:blipFill>
                  <pic:spPr bwMode="auto">
                    <a:xfrm>
                      <a:off x="0" y="0"/>
                      <a:ext cx="5420995" cy="287020"/>
                    </a:xfrm>
                    <a:prstGeom prst="rect">
                      <a:avLst/>
                    </a:prstGeom>
                    <a:noFill/>
                  </pic:spPr>
                </pic:pic>
              </a:graphicData>
            </a:graphic>
          </wp:inline>
        </w:drawing>
      </w:r>
    </w:p>
    <w:p>
      <w:pPr>
        <w:pStyle w:val="Heading2"/>
        <w:keepNext w:val="true"/>
        <w:keepLines/>
        <w:widowControl/>
        <w:rPr/>
      </w:pPr>
      <w:bookmarkStart w:id="229" w:name="__RefHeading___Toc8389_528838595"/>
      <w:bookmarkEnd w:id="229"/>
      <w:r>
        <w:rPr/>
        <w:t>14.3 Security track record</w:t>
      </w:r>
    </w:p>
    <w:p>
      <w:pPr>
        <w:pStyle w:val="Normal"/>
        <w:rPr/>
      </w:pPr>
      <w:r>
        <w:rPr/>
        <w:t>Security evidence includes:</w:t>
      </w:r>
    </w:p>
    <w:p>
      <w:pPr>
        <w:pStyle w:val="Compact"/>
        <w:widowControl/>
        <w:numPr>
          <w:ilvl w:val="0"/>
          <w:numId w:val="1008"/>
        </w:numPr>
        <w:rPr/>
      </w:pPr>
      <w:r>
        <w:rPr/>
        <w:t>consensus and protocol exploits;</w:t>
      </w:r>
    </w:p>
    <w:p>
      <w:pPr>
        <w:pStyle w:val="Compact"/>
        <w:widowControl/>
        <w:numPr>
          <w:ilvl w:val="0"/>
          <w:numId w:val="1009"/>
        </w:numPr>
        <w:rPr/>
      </w:pPr>
      <w:r>
        <w:rPr/>
        <w:t>bridge or canonical-contract failures attributable to the network;</w:t>
      </w:r>
    </w:p>
    <w:p>
      <w:pPr>
        <w:pStyle w:val="Compact"/>
        <w:widowControl/>
        <w:numPr>
          <w:ilvl w:val="0"/>
          <w:numId w:val="1010"/>
        </w:numPr>
        <w:rPr/>
      </w:pPr>
      <w:r>
        <w:rPr/>
        <w:t>loss severity relative to economic size;</w:t>
      </w:r>
    </w:p>
    <w:p>
      <w:pPr>
        <w:pStyle w:val="Compact"/>
        <w:widowControl/>
        <w:numPr>
          <w:ilvl w:val="0"/>
          <w:numId w:val="1011"/>
        </w:numPr>
        <w:rPr/>
      </w:pPr>
      <w:r>
        <w:rPr/>
        <w:t>audit coverage and independence;</w:t>
      </w:r>
    </w:p>
    <w:p>
      <w:pPr>
        <w:pStyle w:val="Compact"/>
        <w:widowControl/>
        <w:numPr>
          <w:ilvl w:val="0"/>
          <w:numId w:val="1012"/>
        </w:numPr>
        <w:rPr/>
      </w:pPr>
      <w:r>
        <w:rPr/>
        <w:t>bug-bounty scope and response;</w:t>
      </w:r>
    </w:p>
    <w:p>
      <w:pPr>
        <w:pStyle w:val="Compact"/>
        <w:widowControl/>
        <w:numPr>
          <w:ilvl w:val="0"/>
          <w:numId w:val="1013"/>
        </w:numPr>
        <w:rPr/>
      </w:pPr>
      <w:r>
        <w:rPr/>
        <w:t>time to detection, containment and remediation;</w:t>
      </w:r>
    </w:p>
    <w:p>
      <w:pPr>
        <w:pStyle w:val="Compact"/>
        <w:widowControl/>
        <w:numPr>
          <w:ilvl w:val="0"/>
          <w:numId w:val="1014"/>
        </w:numPr>
        <w:rPr/>
      </w:pPr>
      <w:r>
        <w:rPr/>
        <w:t>recurrence of known vulnerability classes;</w:t>
      </w:r>
    </w:p>
    <w:p>
      <w:pPr>
        <w:pStyle w:val="Compact"/>
        <w:widowControl/>
        <w:numPr>
          <w:ilvl w:val="0"/>
          <w:numId w:val="1015"/>
        </w:numPr>
        <w:rPr/>
      </w:pPr>
      <w:r>
        <w:rPr/>
        <w:t>post-incident disclosure quality.</w:t>
      </w:r>
    </w:p>
    <w:p>
      <w:pPr>
        <w:pStyle w:val="Normal"/>
        <w:rPr/>
      </w:pPr>
      <w:bookmarkStart w:id="230" w:name="security-track-record"/>
      <w:r>
        <w:rPr/>
        <w:t>An absence of reported incidents does not automatically indicate strong security. Confidence depends on code maturity, audit evidence, open-source visibility and attack surface.</w:t>
      </w:r>
      <w:bookmarkEnd w:id="230"/>
    </w:p>
    <w:p>
      <w:pPr>
        <w:pStyle w:val="Heading2"/>
        <w:keepNext w:val="true"/>
        <w:keepLines/>
        <w:widowControl/>
        <w:rPr/>
      </w:pPr>
      <w:bookmarkStart w:id="231" w:name="__RefHeading___Toc8391_528838595"/>
      <w:bookmarkEnd w:id="231"/>
      <w:r>
        <w:rPr/>
        <w:t>14.4 Consensus and control decentralisation</w:t>
      </w:r>
    </w:p>
    <w:p>
      <w:pPr>
        <w:pStyle w:val="Normal"/>
        <w:rPr/>
      </w:pPr>
      <w:r>
        <w:rPr/>
        <w:t>PII measures effective control, not marketing labels. Depending on architecture, evidence may include:</w:t>
      </w:r>
    </w:p>
    <w:p>
      <w:pPr>
        <w:pStyle w:val="Compact"/>
        <w:widowControl/>
        <w:numPr>
          <w:ilvl w:val="0"/>
          <w:numId w:val="1016"/>
        </w:numPr>
        <w:rPr/>
      </w:pPr>
      <w:r>
        <w:rPr/>
        <w:t>Nakamoto-style coefficients across block production, stake, mining work or governance;</w:t>
      </w:r>
    </w:p>
    <w:p>
      <w:pPr>
        <w:pStyle w:val="Compact"/>
        <w:widowControl/>
        <w:numPr>
          <w:ilvl w:val="0"/>
          <w:numId w:val="1017"/>
        </w:numPr>
        <w:rPr/>
      </w:pPr>
      <w:r>
        <w:rPr/>
        <w:t>top-entity control share;</w:t>
      </w:r>
    </w:p>
    <w:p>
      <w:pPr>
        <w:pStyle w:val="Compact"/>
        <w:widowControl/>
        <w:numPr>
          <w:ilvl w:val="0"/>
          <w:numId w:val="1018"/>
        </w:numPr>
        <w:rPr/>
      </w:pPr>
      <w:r>
        <w:rPr/>
        <w:t>delegation concentration;</w:t>
      </w:r>
    </w:p>
    <w:p>
      <w:pPr>
        <w:pStyle w:val="Compact"/>
        <w:widowControl/>
        <w:numPr>
          <w:ilvl w:val="0"/>
          <w:numId w:val="1019"/>
        </w:numPr>
        <w:rPr/>
      </w:pPr>
      <w:r>
        <w:rPr/>
        <w:t>sequencer, prover or committee control;</w:t>
      </w:r>
    </w:p>
    <w:p>
      <w:pPr>
        <w:pStyle w:val="Compact"/>
        <w:widowControl/>
        <w:numPr>
          <w:ilvl w:val="0"/>
          <w:numId w:val="1020"/>
        </w:numPr>
        <w:rPr/>
      </w:pPr>
      <w:r>
        <w:rPr/>
        <w:t>emergency-key and multisignature power;</w:t>
      </w:r>
    </w:p>
    <w:p>
      <w:pPr>
        <w:pStyle w:val="Compact"/>
        <w:widowControl/>
        <w:numPr>
          <w:ilvl w:val="0"/>
          <w:numId w:val="1021"/>
        </w:numPr>
        <w:rPr/>
      </w:pPr>
      <w:r>
        <w:rPr/>
        <w:t>censorship and forced-exit mechanisms;</w:t>
      </w:r>
    </w:p>
    <w:p>
      <w:pPr>
        <w:pStyle w:val="Compact"/>
        <w:widowControl/>
        <w:numPr>
          <w:ilvl w:val="0"/>
          <w:numId w:val="1022"/>
        </w:numPr>
        <w:rPr/>
      </w:pPr>
      <w:r>
        <w:rPr/>
        <w:t>ownership relationships among nominally separate operators.</w:t>
      </w:r>
    </w:p>
    <w:p>
      <w:pPr>
        <w:pStyle w:val="Normal"/>
        <w:rPr/>
      </w:pPr>
      <w:bookmarkStart w:id="232" w:name="consensus-and-control-decentralisation"/>
      <w:r>
        <w:rPr/>
        <w:t>Decentralisation is multidimensional, as academic studies of consensus and governance concentration have shown [9–10]. Voxonomics therefore publishes component measures rather than one unverifiable claim.</w:t>
      </w:r>
      <w:bookmarkEnd w:id="232"/>
    </w:p>
    <w:p>
      <w:pPr>
        <w:pStyle w:val="Heading2"/>
        <w:keepNext w:val="true"/>
        <w:keepLines/>
        <w:widowControl/>
        <w:rPr/>
      </w:pPr>
      <w:bookmarkStart w:id="233" w:name="__RefHeading___Toc8393_528838595"/>
      <w:bookmarkEnd w:id="233"/>
      <w:r>
        <w:rPr/>
        <w:t>14.5 Infrastructure diversity</w:t>
      </w:r>
    </w:p>
    <w:p>
      <w:pPr>
        <w:pStyle w:val="Normal"/>
        <w:rPr/>
      </w:pPr>
      <w:r>
        <w:rPr/>
        <w:t>Infrastructure diversity examines correlated failure risk across:</w:t>
      </w:r>
    </w:p>
    <w:p>
      <w:pPr>
        <w:pStyle w:val="Compact"/>
        <w:widowControl/>
        <w:numPr>
          <w:ilvl w:val="0"/>
          <w:numId w:val="1023"/>
        </w:numPr>
        <w:rPr/>
      </w:pPr>
      <w:r>
        <w:rPr/>
        <w:t>client implementations;</w:t>
      </w:r>
    </w:p>
    <w:p>
      <w:pPr>
        <w:pStyle w:val="Compact"/>
        <w:widowControl/>
        <w:numPr>
          <w:ilvl w:val="0"/>
          <w:numId w:val="1024"/>
        </w:numPr>
        <w:rPr/>
      </w:pPr>
      <w:r>
        <w:rPr/>
        <w:t>operating systems and software stacks;</w:t>
      </w:r>
    </w:p>
    <w:p>
      <w:pPr>
        <w:pStyle w:val="Compact"/>
        <w:widowControl/>
        <w:numPr>
          <w:ilvl w:val="0"/>
          <w:numId w:val="1025"/>
        </w:numPr>
        <w:rPr/>
      </w:pPr>
      <w:r>
        <w:rPr/>
        <w:t>cloud and hosting providers;</w:t>
      </w:r>
    </w:p>
    <w:p>
      <w:pPr>
        <w:pStyle w:val="Compact"/>
        <w:widowControl/>
        <w:numPr>
          <w:ilvl w:val="0"/>
          <w:numId w:val="1026"/>
        </w:numPr>
        <w:rPr/>
      </w:pPr>
      <w:r>
        <w:rPr/>
        <w:t>geographic and jurisdictional distribution;</w:t>
      </w:r>
    </w:p>
    <w:p>
      <w:pPr>
        <w:pStyle w:val="Compact"/>
        <w:widowControl/>
        <w:numPr>
          <w:ilvl w:val="0"/>
          <w:numId w:val="1027"/>
        </w:numPr>
        <w:rPr/>
      </w:pPr>
      <w:r>
        <w:rPr/>
        <w:t>RPC and relay dependencies;</w:t>
      </w:r>
    </w:p>
    <w:p>
      <w:pPr>
        <w:pStyle w:val="Compact"/>
        <w:widowControl/>
        <w:numPr>
          <w:ilvl w:val="0"/>
          <w:numId w:val="1028"/>
        </w:numPr>
        <w:rPr/>
      </w:pPr>
      <w:r>
        <w:rPr/>
        <w:t>oracle, data-availability and bridge infrastructure;</w:t>
      </w:r>
    </w:p>
    <w:p>
      <w:pPr>
        <w:pStyle w:val="Compact"/>
        <w:widowControl/>
        <w:numPr>
          <w:ilvl w:val="0"/>
          <w:numId w:val="1029"/>
        </w:numPr>
        <w:rPr/>
      </w:pPr>
      <w:r>
        <w:rPr/>
        <w:t>key maintainers and repositories.</w:t>
      </w:r>
    </w:p>
    <w:p>
      <w:pPr>
        <w:pStyle w:val="Normal"/>
        <w:rPr/>
      </w:pPr>
      <w:bookmarkStart w:id="234" w:name="infrastructure-diversity"/>
      <w:r>
        <w:rPr/>
        <w:t>Where exact infrastructure data is unavailable, the adapter reports the evidence class and lowers confidence rather than inventing precision.</w:t>
      </w:r>
      <w:bookmarkEnd w:id="234"/>
    </w:p>
    <w:p>
      <w:pPr>
        <w:pStyle w:val="Heading2"/>
        <w:keepNext w:val="true"/>
        <w:keepLines/>
        <w:widowControl/>
        <w:rPr/>
      </w:pPr>
      <w:bookmarkStart w:id="235" w:name="__RefHeading___Toc8395_528838595"/>
      <w:bookmarkEnd w:id="235"/>
      <w:r>
        <w:rPr/>
        <w:t>14.6 Availability and finality</w:t>
      </w:r>
    </w:p>
    <w:p>
      <w:pPr>
        <w:pStyle w:val="Normal"/>
        <w:rPr/>
      </w:pPr>
      <w:r>
        <w:rPr/>
        <w:t>Availability measures whether the network produces valid state consistently. Evidence may include:</w:t>
      </w:r>
    </w:p>
    <w:p>
      <w:pPr>
        <w:pStyle w:val="Compact"/>
        <w:widowControl/>
        <w:numPr>
          <w:ilvl w:val="0"/>
          <w:numId w:val="1030"/>
        </w:numPr>
        <w:rPr/>
      </w:pPr>
      <w:r>
        <w:rPr/>
        <w:t>uptime and halted time;</w:t>
      </w:r>
    </w:p>
    <w:p>
      <w:pPr>
        <w:pStyle w:val="Compact"/>
        <w:widowControl/>
        <w:numPr>
          <w:ilvl w:val="0"/>
          <w:numId w:val="1031"/>
        </w:numPr>
        <w:rPr/>
      </w:pPr>
      <w:r>
        <w:rPr/>
        <w:t>missed blocks or slots;</w:t>
      </w:r>
    </w:p>
    <w:p>
      <w:pPr>
        <w:pStyle w:val="Compact"/>
        <w:widowControl/>
        <w:numPr>
          <w:ilvl w:val="0"/>
          <w:numId w:val="1032"/>
        </w:numPr>
        <w:rPr/>
      </w:pPr>
      <w:r>
        <w:rPr/>
        <w:t>finality delay and reorganisation depth;</w:t>
      </w:r>
    </w:p>
    <w:p>
      <w:pPr>
        <w:pStyle w:val="Compact"/>
        <w:widowControl/>
        <w:numPr>
          <w:ilvl w:val="0"/>
          <w:numId w:val="1033"/>
        </w:numPr>
        <w:rPr/>
      </w:pPr>
      <w:r>
        <w:rPr/>
        <w:t>degraded-mode operation;</w:t>
      </w:r>
    </w:p>
    <w:p>
      <w:pPr>
        <w:pStyle w:val="Compact"/>
        <w:widowControl/>
        <w:numPr>
          <w:ilvl w:val="0"/>
          <w:numId w:val="1034"/>
        </w:numPr>
        <w:rPr/>
      </w:pPr>
      <w:r>
        <w:rPr/>
        <w:t>censorship or liveness incidents;</w:t>
      </w:r>
    </w:p>
    <w:p>
      <w:pPr>
        <w:pStyle w:val="Compact"/>
        <w:widowControl/>
        <w:numPr>
          <w:ilvl w:val="0"/>
          <w:numId w:val="1035"/>
        </w:numPr>
        <w:rPr/>
      </w:pPr>
      <w:r>
        <w:rPr/>
        <w:t>recovery time;</w:t>
      </w:r>
    </w:p>
    <w:p>
      <w:pPr>
        <w:pStyle w:val="Compact"/>
        <w:widowControl/>
        <w:numPr>
          <w:ilvl w:val="0"/>
          <w:numId w:val="1036"/>
        </w:numPr>
        <w:rPr/>
      </w:pPr>
      <w:r>
        <w:rPr/>
        <w:t>user ability to exit during disruption.</w:t>
      </w:r>
    </w:p>
    <w:p>
      <w:pPr>
        <w:pStyle w:val="Normal"/>
        <w:rPr/>
      </w:pPr>
      <w:bookmarkStart w:id="236" w:name="availability-and-finality"/>
      <w:r>
        <w:rPr/>
        <w:t>A high-throughput chain with frequent halts cannot offset availability weakness through transaction count because throughput belongs to PoV and integrity belongs to PII.</w:t>
      </w:r>
      <w:bookmarkEnd w:id="236"/>
    </w:p>
    <w:p>
      <w:pPr>
        <w:pStyle w:val="Heading2"/>
        <w:keepNext w:val="true"/>
        <w:keepLines/>
        <w:widowControl/>
        <w:rPr/>
      </w:pPr>
      <w:bookmarkStart w:id="237" w:name="__RefHeading___Toc8397_528838595"/>
      <w:bookmarkEnd w:id="237"/>
      <w:r>
        <w:rPr/>
        <w:t>14.7 Governance and upgrade integrity</w:t>
      </w:r>
    </w:p>
    <w:p>
      <w:pPr>
        <w:pStyle w:val="Normal"/>
        <w:rPr/>
      </w:pPr>
      <w:r>
        <w:rPr/>
        <w:t>Protocol change is necessary, but unconstrained upgrade power creates risk. The component assesses:</w:t>
      </w:r>
    </w:p>
    <w:p>
      <w:pPr>
        <w:pStyle w:val="Compact"/>
        <w:widowControl/>
        <w:numPr>
          <w:ilvl w:val="0"/>
          <w:numId w:val="1037"/>
        </w:numPr>
        <w:rPr/>
      </w:pPr>
      <w:r>
        <w:rPr/>
        <w:t>transparency of specifications and releases;</w:t>
      </w:r>
    </w:p>
    <w:p>
      <w:pPr>
        <w:pStyle w:val="Compact"/>
        <w:widowControl/>
        <w:numPr>
          <w:ilvl w:val="0"/>
          <w:numId w:val="1038"/>
        </w:numPr>
        <w:rPr/>
      </w:pPr>
      <w:r>
        <w:rPr/>
        <w:t>review and testing processes;</w:t>
      </w:r>
    </w:p>
    <w:p>
      <w:pPr>
        <w:pStyle w:val="Compact"/>
        <w:widowControl/>
        <w:numPr>
          <w:ilvl w:val="0"/>
          <w:numId w:val="1039"/>
        </w:numPr>
        <w:rPr/>
      </w:pPr>
      <w:r>
        <w:rPr/>
        <w:t>notice periods and timelocks;</w:t>
      </w:r>
    </w:p>
    <w:p>
      <w:pPr>
        <w:pStyle w:val="Compact"/>
        <w:widowControl/>
        <w:numPr>
          <w:ilvl w:val="0"/>
          <w:numId w:val="1040"/>
        </w:numPr>
        <w:rPr/>
      </w:pPr>
      <w:r>
        <w:rPr/>
        <w:t>emergency powers and key management;</w:t>
      </w:r>
    </w:p>
    <w:p>
      <w:pPr>
        <w:pStyle w:val="Compact"/>
        <w:widowControl/>
        <w:numPr>
          <w:ilvl w:val="0"/>
          <w:numId w:val="1041"/>
        </w:numPr>
        <w:rPr/>
      </w:pPr>
      <w:r>
        <w:rPr/>
        <w:t>rollback and recovery procedures;</w:t>
      </w:r>
    </w:p>
    <w:p>
      <w:pPr>
        <w:pStyle w:val="Compact"/>
        <w:widowControl/>
        <w:numPr>
          <w:ilvl w:val="0"/>
          <w:numId w:val="1042"/>
        </w:numPr>
        <w:rPr/>
      </w:pPr>
      <w:r>
        <w:rPr/>
        <w:t>client compatibility and migration planning;</w:t>
      </w:r>
    </w:p>
    <w:p>
      <w:pPr>
        <w:pStyle w:val="Compact"/>
        <w:widowControl/>
        <w:numPr>
          <w:ilvl w:val="0"/>
          <w:numId w:val="1043"/>
        </w:numPr>
        <w:rPr/>
      </w:pPr>
      <w:r>
        <w:rPr/>
        <w:t>separation of proposer, approver and executor roles;</w:t>
      </w:r>
    </w:p>
    <w:p>
      <w:pPr>
        <w:pStyle w:val="Compact"/>
        <w:widowControl/>
        <w:numPr>
          <w:ilvl w:val="0"/>
          <w:numId w:val="1044"/>
        </w:numPr>
        <w:rPr/>
      </w:pPr>
      <w:bookmarkStart w:id="238" w:name="governance-and-upgrade-integrity"/>
      <w:r>
        <w:rPr/>
        <w:t>public disclosure of material changes.</w:t>
      </w:r>
      <w:bookmarkEnd w:id="238"/>
    </w:p>
    <w:p>
      <w:pPr>
        <w:pStyle w:val="Heading2"/>
        <w:keepNext w:val="true"/>
        <w:keepLines/>
        <w:widowControl/>
        <w:rPr/>
      </w:pPr>
      <w:bookmarkStart w:id="239" w:name="__RefHeading___Toc8399_528838595"/>
      <w:bookmarkEnd w:id="239"/>
      <w:r>
        <w:rPr/>
        <w:t>14.8 Interpretation</w:t>
      </w:r>
    </w:p>
    <w:p>
      <w:pPr>
        <w:pStyle w:val="Normal"/>
        <w:rPr/>
      </w:pPr>
      <w:bookmarkStart w:id="240" w:name="protocol-integrity-index-pii"/>
      <w:bookmarkStart w:id="241" w:name="interpretation-4"/>
      <w:r>
        <w:rPr/>
        <w:t>A high PII indicates that the network is currently secure, distributed, available and governed through credible operational controls. ERI then asks whether those strengths persist under stress.</w:t>
      </w:r>
      <w:bookmarkEnd w:id="240"/>
      <w:bookmarkEnd w:id="241"/>
    </w:p>
    <w:p>
      <w:pPr>
        <w:pStyle w:val="Heading1"/>
        <w:keepNext w:val="true"/>
        <w:keepLines/>
        <w:widowControl/>
        <w:pBdr>
          <w:bottom w:val="single" w:sz="6" w:space="5" w:color="8AB2BF"/>
        </w:pBdr>
        <w:jc w:val="start"/>
        <w:rPr/>
      </w:pPr>
      <w:bookmarkStart w:id="242" w:name="__RefHeading___Toc8401_528838595"/>
      <w:bookmarkEnd w:id="242"/>
      <w:r>
        <w:rPr/>
        <w:t>15. Real-World Adoption Index (RWAI)</w:t>
      </w:r>
    </w:p>
    <w:p>
      <w:pPr>
        <w:pStyle w:val="Heading2"/>
        <w:keepNext w:val="true"/>
        <w:keepLines/>
        <w:widowControl/>
        <w:rPr/>
      </w:pPr>
      <w:bookmarkStart w:id="243" w:name="__RefHeading___Toc8403_528838595"/>
      <w:bookmarkEnd w:id="243"/>
      <w:r>
        <w:rPr/>
        <w:t>15.1 Purpose</w:t>
      </w:r>
    </w:p>
    <w:p>
      <w:pPr>
        <w:pStyle w:val="Normal"/>
        <w:rPr/>
      </w:pPr>
      <w:bookmarkStart w:id="244" w:name="purpose-6"/>
      <w:r>
        <w:rPr/>
        <w:t>RWAI measures verifiable connection between a blockchain and economic activity outside purely endogenous crypto speculation. It replaces the narrower Real-World Asset Index. Tokenised assets remain important, but adoption also includes payments, settlement, enterprise use and public infrastructure.</w:t>
      </w:r>
      <w:bookmarkEnd w:id="244"/>
    </w:p>
    <w:p>
      <w:pPr>
        <w:pStyle w:val="Heading2"/>
        <w:keepNext w:val="true"/>
        <w:keepLines/>
        <w:widowControl/>
        <w:rPr/>
      </w:pPr>
      <w:bookmarkStart w:id="245" w:name="__RefHeading___Toc8405_528838595"/>
      <w:bookmarkEnd w:id="245"/>
      <w:r>
        <w:rPr/>
        <w:t>15.2 RWAI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Real-world settlement value</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Verified economic settlement connected to external goods, services or claims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Stablecoin and payment use</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Payment and treasury activity using stable-value instruments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Tokenised asset value and quality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Credible on-chain representation of external assets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Adoption diversity and persistence</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Breadth across sectors, jurisdictions and use cases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External-verification integrity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Quality of legal, custody, oracle and reporting links</w:t>
            </w:r>
          </w:p>
        </w:tc>
      </w:tr>
    </w:tbl>
    <w:p>
      <w:pPr>
        <w:pStyle w:val="BodyText"/>
        <w:keepLines/>
        <w:spacing w:before="80" w:after="160"/>
        <w:jc w:val="center"/>
        <w:rPr/>
      </w:pPr>
      <w:r>
        <w:rPr/>
        <w:drawing>
          <wp:inline distT="0" distB="0" distL="0" distR="0">
            <wp:extent cx="5623560" cy="283845"/>
            <wp:effectExtent l="0" t="0" r="0" b="0"/>
            <wp:docPr id="25" name="Picture 25" descr="RWAI=0.25RS+0.20SP+0.20TA+0.20AD+0.15EI"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RWAI=0.25RS+0.20SP+0.20TA+0.20AD+0.15EI" title="Equation"/>
                    <pic:cNvPicPr>
                      <a:picLocks noChangeAspect="1" noChangeArrowheads="1"/>
                    </pic:cNvPicPr>
                  </pic:nvPicPr>
                  <pic:blipFill>
                    <a:blip r:embed="rId26"/>
                    <a:stretch>
                      <a:fillRect/>
                    </a:stretch>
                  </pic:blipFill>
                  <pic:spPr bwMode="auto">
                    <a:xfrm>
                      <a:off x="0" y="0"/>
                      <a:ext cx="5623560" cy="283845"/>
                    </a:xfrm>
                    <a:prstGeom prst="rect">
                      <a:avLst/>
                    </a:prstGeom>
                    <a:noFill/>
                  </pic:spPr>
                </pic:pic>
              </a:graphicData>
            </a:graphic>
          </wp:inline>
        </w:drawing>
      </w:r>
    </w:p>
    <w:p>
      <w:pPr>
        <w:pStyle w:val="Heading2"/>
        <w:keepNext w:val="true"/>
        <w:keepLines/>
        <w:widowControl/>
        <w:rPr/>
      </w:pPr>
      <w:bookmarkStart w:id="246" w:name="__RefHeading___Toc8407_528838595"/>
      <w:bookmarkEnd w:id="246"/>
      <w:r>
        <w:rPr/>
        <w:t>15.3 Real-world settlement value</w:t>
      </w:r>
    </w:p>
    <w:p>
      <w:pPr>
        <w:pStyle w:val="Normal"/>
        <w:rPr/>
      </w:pPr>
      <w:r>
        <w:rPr/>
        <w:t>This component measures settlement associated with identifiable external economic purpose, including:</w:t>
      </w:r>
    </w:p>
    <w:p>
      <w:pPr>
        <w:pStyle w:val="Compact"/>
        <w:widowControl/>
        <w:numPr>
          <w:ilvl w:val="0"/>
          <w:numId w:val="1045"/>
        </w:numPr>
        <w:rPr/>
      </w:pPr>
      <w:r>
        <w:rPr/>
        <w:t>merchant and remittance payments;</w:t>
      </w:r>
    </w:p>
    <w:p>
      <w:pPr>
        <w:pStyle w:val="Compact"/>
        <w:widowControl/>
        <w:numPr>
          <w:ilvl w:val="0"/>
          <w:numId w:val="1046"/>
        </w:numPr>
        <w:rPr/>
      </w:pPr>
      <w:r>
        <w:rPr/>
        <w:t>payroll and contractor settlement;</w:t>
      </w:r>
    </w:p>
    <w:p>
      <w:pPr>
        <w:pStyle w:val="Compact"/>
        <w:widowControl/>
        <w:numPr>
          <w:ilvl w:val="0"/>
          <w:numId w:val="1047"/>
        </w:numPr>
        <w:rPr/>
      </w:pPr>
      <w:r>
        <w:rPr/>
        <w:t>business-to-business payments;</w:t>
      </w:r>
    </w:p>
    <w:p>
      <w:pPr>
        <w:pStyle w:val="Compact"/>
        <w:widowControl/>
        <w:numPr>
          <w:ilvl w:val="0"/>
          <w:numId w:val="1048"/>
        </w:numPr>
        <w:rPr/>
      </w:pPr>
      <w:r>
        <w:rPr/>
        <w:t>trade finance and invoice settlement;</w:t>
      </w:r>
    </w:p>
    <w:p>
      <w:pPr>
        <w:pStyle w:val="Compact"/>
        <w:widowControl/>
        <w:numPr>
          <w:ilvl w:val="0"/>
          <w:numId w:val="1049"/>
        </w:numPr>
        <w:rPr/>
      </w:pPr>
      <w:r>
        <w:rPr/>
        <w:t>public-sector or regulated financial settlement;</w:t>
      </w:r>
    </w:p>
    <w:p>
      <w:pPr>
        <w:pStyle w:val="Compact"/>
        <w:widowControl/>
        <w:numPr>
          <w:ilvl w:val="0"/>
          <w:numId w:val="1050"/>
        </w:numPr>
        <w:rPr/>
      </w:pPr>
      <w:r>
        <w:rPr/>
        <w:t>delivery-versus-payment and asset servicing;</w:t>
      </w:r>
    </w:p>
    <w:p>
      <w:pPr>
        <w:pStyle w:val="Compact"/>
        <w:widowControl/>
        <w:numPr>
          <w:ilvl w:val="0"/>
          <w:numId w:val="1051"/>
        </w:numPr>
        <w:rPr/>
      </w:pPr>
      <w:r>
        <w:rPr/>
        <w:t>machine or infrastructure payments connected to external services.</w:t>
      </w:r>
    </w:p>
    <w:p>
      <w:pPr>
        <w:pStyle w:val="Normal"/>
        <w:rPr/>
      </w:pPr>
      <w:bookmarkStart w:id="247" w:name="real-world-settlement-value"/>
      <w:r>
        <w:rPr/>
        <w:t>Claims require verifiable evidence. Marketing partnerships without measurable on-chain use do not increase the score.</w:t>
      </w:r>
      <w:bookmarkEnd w:id="247"/>
    </w:p>
    <w:p>
      <w:pPr>
        <w:pStyle w:val="Heading2"/>
        <w:keepNext w:val="true"/>
        <w:keepLines/>
        <w:widowControl/>
        <w:rPr/>
      </w:pPr>
      <w:bookmarkStart w:id="248" w:name="__RefHeading___Toc8409_528838595"/>
      <w:bookmarkEnd w:id="248"/>
      <w:r>
        <w:rPr/>
        <w:t>15.4 Stablecoin and payment use</w:t>
      </w:r>
    </w:p>
    <w:p>
      <w:pPr>
        <w:pStyle w:val="Normal"/>
        <w:rPr/>
      </w:pPr>
      <w:r>
        <w:rPr/>
        <w:t>Stablecoins can connect blockchain settlement to fiat-denominated obligations. The component considers:</w:t>
      </w:r>
    </w:p>
    <w:p>
      <w:pPr>
        <w:pStyle w:val="Compact"/>
        <w:widowControl/>
        <w:numPr>
          <w:ilvl w:val="0"/>
          <w:numId w:val="1052"/>
        </w:numPr>
        <w:rPr/>
      </w:pPr>
      <w:r>
        <w:rPr/>
        <w:t>adjusted transfer value and active payment entities;</w:t>
      </w:r>
    </w:p>
    <w:p>
      <w:pPr>
        <w:pStyle w:val="Compact"/>
        <w:widowControl/>
        <w:numPr>
          <w:ilvl w:val="0"/>
          <w:numId w:val="1053"/>
        </w:numPr>
        <w:rPr/>
      </w:pPr>
      <w:r>
        <w:rPr/>
        <w:t>payment-size distribution;</w:t>
      </w:r>
    </w:p>
    <w:p>
      <w:pPr>
        <w:pStyle w:val="Compact"/>
        <w:widowControl/>
        <w:numPr>
          <w:ilvl w:val="0"/>
          <w:numId w:val="1054"/>
        </w:numPr>
        <w:rPr/>
      </w:pPr>
      <w:r>
        <w:rPr/>
        <w:t>retention and velocity;</w:t>
      </w:r>
    </w:p>
    <w:p>
      <w:pPr>
        <w:pStyle w:val="Compact"/>
        <w:widowControl/>
        <w:numPr>
          <w:ilvl w:val="0"/>
          <w:numId w:val="1055"/>
        </w:numPr>
        <w:rPr/>
      </w:pPr>
      <w:r>
        <w:rPr/>
        <w:t>merchant, remittance or treasury usage evidence;</w:t>
      </w:r>
    </w:p>
    <w:p>
      <w:pPr>
        <w:pStyle w:val="Compact"/>
        <w:widowControl/>
        <w:numPr>
          <w:ilvl w:val="0"/>
          <w:numId w:val="1056"/>
        </w:numPr>
        <w:rPr/>
      </w:pPr>
      <w:r>
        <w:rPr/>
        <w:t>issuer and reserve concentration;</w:t>
      </w:r>
    </w:p>
    <w:p>
      <w:pPr>
        <w:pStyle w:val="Compact"/>
        <w:widowControl/>
        <w:numPr>
          <w:ilvl w:val="0"/>
          <w:numId w:val="1057"/>
        </w:numPr>
        <w:rPr/>
      </w:pPr>
      <w:r>
        <w:rPr/>
        <w:t>de-peg history and redemption access;</w:t>
      </w:r>
    </w:p>
    <w:p>
      <w:pPr>
        <w:pStyle w:val="Compact"/>
        <w:widowControl/>
        <w:numPr>
          <w:ilvl w:val="0"/>
          <w:numId w:val="1058"/>
        </w:numPr>
        <w:rPr/>
      </w:pPr>
      <w:r>
        <w:rPr/>
        <w:t>bridge and custody dependencies.</w:t>
      </w:r>
    </w:p>
    <w:p>
      <w:pPr>
        <w:pStyle w:val="Normal"/>
        <w:rPr/>
      </w:pPr>
      <w:bookmarkStart w:id="249" w:name="stablecoin-and-payment-use"/>
      <w:r>
        <w:rPr/>
        <w:t>Pure exchange rotation is separated from payment-like activity where classification is feasible.</w:t>
      </w:r>
      <w:bookmarkEnd w:id="249"/>
    </w:p>
    <w:p>
      <w:pPr>
        <w:pStyle w:val="Heading2"/>
        <w:keepNext w:val="true"/>
        <w:keepLines/>
        <w:widowControl/>
        <w:rPr/>
      </w:pPr>
      <w:bookmarkStart w:id="250" w:name="__RefHeading___Toc8411_528838595"/>
      <w:bookmarkEnd w:id="250"/>
      <w:r>
        <w:rPr/>
        <w:t>15.5 Tokenised asset value and quality</w:t>
      </w:r>
    </w:p>
    <w:p>
      <w:pPr>
        <w:pStyle w:val="Normal"/>
        <w:rPr/>
      </w:pPr>
      <w:r>
        <w:rPr/>
        <w:t>Tokenised real-world assets include government securities, funds, credit, commodities, property interests, invoices and other enforceable claims. Measurement considers both quantity and quality:</w:t>
      </w:r>
    </w:p>
    <w:p>
      <w:pPr>
        <w:pStyle w:val="Compact"/>
        <w:widowControl/>
        <w:numPr>
          <w:ilvl w:val="0"/>
          <w:numId w:val="1059"/>
        </w:numPr>
        <w:rPr/>
      </w:pPr>
      <w:r>
        <w:rPr/>
        <w:t>outstanding verified value;</w:t>
      </w:r>
    </w:p>
    <w:p>
      <w:pPr>
        <w:pStyle w:val="Compact"/>
        <w:widowControl/>
        <w:numPr>
          <w:ilvl w:val="0"/>
          <w:numId w:val="1060"/>
        </w:numPr>
        <w:rPr/>
      </w:pPr>
      <w:r>
        <w:rPr/>
        <w:t>net issuance and redemption;</w:t>
      </w:r>
    </w:p>
    <w:p>
      <w:pPr>
        <w:pStyle w:val="Compact"/>
        <w:widowControl/>
        <w:numPr>
          <w:ilvl w:val="0"/>
          <w:numId w:val="1061"/>
        </w:numPr>
        <w:rPr/>
      </w:pPr>
      <w:r>
        <w:rPr/>
        <w:t>holder and issuer diversity;</w:t>
      </w:r>
    </w:p>
    <w:p>
      <w:pPr>
        <w:pStyle w:val="Compact"/>
        <w:widowControl/>
        <w:numPr>
          <w:ilvl w:val="0"/>
          <w:numId w:val="1062"/>
        </w:numPr>
        <w:rPr/>
      </w:pPr>
      <w:r>
        <w:rPr/>
        <w:t>asset-class diversity;</w:t>
      </w:r>
    </w:p>
    <w:p>
      <w:pPr>
        <w:pStyle w:val="Compact"/>
        <w:widowControl/>
        <w:numPr>
          <w:ilvl w:val="0"/>
          <w:numId w:val="1063"/>
        </w:numPr>
        <w:rPr/>
      </w:pPr>
      <w:r>
        <w:rPr/>
        <w:t>secondary liquidity where relevant;</w:t>
      </w:r>
    </w:p>
    <w:p>
      <w:pPr>
        <w:pStyle w:val="Compact"/>
        <w:widowControl/>
        <w:numPr>
          <w:ilvl w:val="0"/>
          <w:numId w:val="1064"/>
        </w:numPr>
        <w:rPr/>
      </w:pPr>
      <w:r>
        <w:rPr/>
        <w:t>legal enforceability and investor rights;</w:t>
      </w:r>
    </w:p>
    <w:p>
      <w:pPr>
        <w:pStyle w:val="Compact"/>
        <w:widowControl/>
        <w:numPr>
          <w:ilvl w:val="0"/>
          <w:numId w:val="1065"/>
        </w:numPr>
        <w:rPr/>
      </w:pPr>
      <w:r>
        <w:rPr/>
        <w:t>reserve, custody and reporting quality;</w:t>
      </w:r>
    </w:p>
    <w:p>
      <w:pPr>
        <w:pStyle w:val="Compact"/>
        <w:widowControl/>
        <w:numPr>
          <w:ilvl w:val="0"/>
          <w:numId w:val="1066"/>
        </w:numPr>
        <w:rPr/>
      </w:pPr>
      <w:r>
        <w:rPr/>
        <w:t>oracle and administrator independence.</w:t>
      </w:r>
    </w:p>
    <w:p>
      <w:pPr>
        <w:pStyle w:val="Normal"/>
        <w:rPr/>
      </w:pPr>
      <w:bookmarkStart w:id="251" w:name="tokenised-asset-value-and-quality"/>
      <w:r>
        <w:rPr/>
        <w:t>A large opaque tokenised claim does not receive the same score as a smaller, independently verified and redeemable instrument.</w:t>
      </w:r>
      <w:bookmarkEnd w:id="251"/>
    </w:p>
    <w:p>
      <w:pPr>
        <w:pStyle w:val="Heading2"/>
        <w:keepNext w:val="true"/>
        <w:keepLines/>
        <w:widowControl/>
        <w:rPr/>
      </w:pPr>
      <w:bookmarkStart w:id="252" w:name="__RefHeading___Toc8413_528838595"/>
      <w:bookmarkEnd w:id="252"/>
      <w:r>
        <w:rPr/>
        <w:t>15.6 Adoption diversity and persistence</w:t>
      </w:r>
    </w:p>
    <w:p>
      <w:pPr>
        <w:pStyle w:val="Normal"/>
        <w:rPr/>
      </w:pPr>
      <w:r>
        <w:rPr/>
        <w:t>Adoption is stronger when it spans multiple independent organisations, sectors and jurisdictions and persists beyond pilots. Evidence includes:</w:t>
      </w:r>
    </w:p>
    <w:p>
      <w:pPr>
        <w:pStyle w:val="Compact"/>
        <w:widowControl/>
        <w:numPr>
          <w:ilvl w:val="0"/>
          <w:numId w:val="1067"/>
        </w:numPr>
        <w:rPr/>
      </w:pPr>
      <w:r>
        <w:rPr/>
        <w:t>independent issuers and service providers;</w:t>
      </w:r>
    </w:p>
    <w:p>
      <w:pPr>
        <w:pStyle w:val="Compact"/>
        <w:widowControl/>
        <w:numPr>
          <w:ilvl w:val="0"/>
          <w:numId w:val="1068"/>
        </w:numPr>
        <w:rPr/>
      </w:pPr>
      <w:r>
        <w:rPr/>
        <w:t>recurring transaction activity;</w:t>
      </w:r>
    </w:p>
    <w:p>
      <w:pPr>
        <w:pStyle w:val="Compact"/>
        <w:widowControl/>
        <w:numPr>
          <w:ilvl w:val="0"/>
          <w:numId w:val="1069"/>
        </w:numPr>
        <w:rPr/>
      </w:pPr>
      <w:r>
        <w:rPr/>
        <w:t>production deployment rather than announced trials;</w:t>
      </w:r>
    </w:p>
    <w:p>
      <w:pPr>
        <w:pStyle w:val="Compact"/>
        <w:widowControl/>
        <w:numPr>
          <w:ilvl w:val="0"/>
          <w:numId w:val="1070"/>
        </w:numPr>
        <w:rPr/>
      </w:pPr>
      <w:r>
        <w:rPr/>
        <w:t>distribution across payments, capital markets, identity, infrastructure and other categories;</w:t>
      </w:r>
    </w:p>
    <w:p>
      <w:pPr>
        <w:pStyle w:val="Compact"/>
        <w:widowControl/>
        <w:numPr>
          <w:ilvl w:val="0"/>
          <w:numId w:val="1071"/>
        </w:numPr>
        <w:rPr/>
      </w:pPr>
      <w:r>
        <w:rPr/>
        <w:t>concentration of usage among top programmes;</w:t>
      </w:r>
    </w:p>
    <w:p>
      <w:pPr>
        <w:pStyle w:val="Compact"/>
        <w:widowControl/>
        <w:numPr>
          <w:ilvl w:val="0"/>
          <w:numId w:val="1072"/>
        </w:numPr>
        <w:rPr/>
      </w:pPr>
      <w:bookmarkStart w:id="253" w:name="adoption-diversity-and-persistence"/>
      <w:r>
        <w:rPr/>
        <w:t>multi-year continuity.</w:t>
      </w:r>
      <w:bookmarkEnd w:id="253"/>
    </w:p>
    <w:p>
      <w:pPr>
        <w:pStyle w:val="Heading2"/>
        <w:keepNext w:val="true"/>
        <w:keepLines/>
        <w:widowControl/>
        <w:rPr/>
      </w:pPr>
      <w:bookmarkStart w:id="254" w:name="__RefHeading___Toc8415_528838595"/>
      <w:bookmarkEnd w:id="254"/>
      <w:r>
        <w:rPr/>
        <w:t>15.7 External-verification integrity</w:t>
      </w:r>
    </w:p>
    <w:p>
      <w:pPr>
        <w:pStyle w:val="Normal"/>
        <w:rPr/>
      </w:pPr>
      <w:r>
        <w:rPr/>
        <w:t>Real-world claims introduce off-chain dependencies. This component measures:</w:t>
      </w:r>
    </w:p>
    <w:p>
      <w:pPr>
        <w:pStyle w:val="Compact"/>
        <w:widowControl/>
        <w:numPr>
          <w:ilvl w:val="0"/>
          <w:numId w:val="1073"/>
        </w:numPr>
        <w:rPr/>
      </w:pPr>
      <w:r>
        <w:rPr/>
        <w:t>legal documentation and jurisdiction;</w:t>
      </w:r>
    </w:p>
    <w:p>
      <w:pPr>
        <w:pStyle w:val="Compact"/>
        <w:widowControl/>
        <w:numPr>
          <w:ilvl w:val="0"/>
          <w:numId w:val="1074"/>
        </w:numPr>
        <w:rPr/>
      </w:pPr>
      <w:r>
        <w:rPr/>
        <w:t>custody and bankruptcy remoteness;</w:t>
      </w:r>
    </w:p>
    <w:p>
      <w:pPr>
        <w:pStyle w:val="Compact"/>
        <w:widowControl/>
        <w:numPr>
          <w:ilvl w:val="0"/>
          <w:numId w:val="1075"/>
        </w:numPr>
        <w:rPr/>
      </w:pPr>
      <w:r>
        <w:rPr/>
        <w:t>independent attestations or audits;</w:t>
      </w:r>
    </w:p>
    <w:p>
      <w:pPr>
        <w:pStyle w:val="Compact"/>
        <w:widowControl/>
        <w:numPr>
          <w:ilvl w:val="0"/>
          <w:numId w:val="1076"/>
        </w:numPr>
        <w:rPr/>
      </w:pPr>
      <w:r>
        <w:rPr/>
        <w:t>reserve transparency;</w:t>
      </w:r>
    </w:p>
    <w:p>
      <w:pPr>
        <w:pStyle w:val="Compact"/>
        <w:widowControl/>
        <w:numPr>
          <w:ilvl w:val="0"/>
          <w:numId w:val="1077"/>
        </w:numPr>
        <w:rPr/>
      </w:pPr>
      <w:r>
        <w:rPr/>
        <w:t>oracle and administrator design;</w:t>
      </w:r>
    </w:p>
    <w:p>
      <w:pPr>
        <w:pStyle w:val="Compact"/>
        <w:widowControl/>
        <w:numPr>
          <w:ilvl w:val="0"/>
          <w:numId w:val="1078"/>
        </w:numPr>
        <w:rPr/>
      </w:pPr>
      <w:r>
        <w:rPr/>
        <w:t>redemption and dispute mechanisms;</w:t>
      </w:r>
    </w:p>
    <w:p>
      <w:pPr>
        <w:pStyle w:val="Compact"/>
        <w:widowControl/>
        <w:numPr>
          <w:ilvl w:val="0"/>
          <w:numId w:val="1079"/>
        </w:numPr>
        <w:rPr/>
      </w:pPr>
      <w:r>
        <w:rPr/>
        <w:t>identity and compliance dependencies;</w:t>
      </w:r>
    </w:p>
    <w:p>
      <w:pPr>
        <w:pStyle w:val="Compact"/>
        <w:widowControl/>
        <w:numPr>
          <w:ilvl w:val="0"/>
          <w:numId w:val="1080"/>
        </w:numPr>
        <w:rPr/>
      </w:pPr>
      <w:r>
        <w:rPr/>
        <w:t>reporting frequency and timeliness.</w:t>
      </w:r>
    </w:p>
    <w:p>
      <w:pPr>
        <w:pStyle w:val="Normal"/>
        <w:rPr/>
      </w:pPr>
      <w:bookmarkStart w:id="255" w:name="external-verification-integrity"/>
      <w:r>
        <w:rPr/>
        <w:t>RWAI does not treat regulation as automatically positive or negative. It measures whether the external claim is transparent, enforceable and operationally credible.</w:t>
      </w:r>
      <w:bookmarkEnd w:id="255"/>
    </w:p>
    <w:p>
      <w:pPr>
        <w:pStyle w:val="Heading2"/>
        <w:keepNext w:val="true"/>
        <w:keepLines/>
        <w:widowControl/>
        <w:rPr/>
      </w:pPr>
      <w:bookmarkStart w:id="256" w:name="__RefHeading___Toc8417_528838595"/>
      <w:bookmarkEnd w:id="256"/>
      <w:r>
        <w:rPr/>
        <w:t>15.8 Macroeconomic relevance</w:t>
      </w:r>
    </w:p>
    <w:p>
      <w:pPr>
        <w:pStyle w:val="Normal"/>
        <w:rPr/>
      </w:pPr>
      <w:bookmarkStart w:id="257" w:name="macroeconomic-relevance"/>
      <w:r>
        <w:rPr/>
        <w:t>Tokenisation and digital money are increasingly analysed by institutions such as the Bank for International Settlements and International Monetary Fund [11–14]. Voxonomics uses those developments as contextual evidence, but retains a public, chain-agnostic and reproducible measurement standard.</w:t>
      </w:r>
      <w:bookmarkEnd w:id="257"/>
    </w:p>
    <w:p>
      <w:pPr>
        <w:pStyle w:val="Heading2"/>
        <w:keepNext w:val="true"/>
        <w:keepLines/>
        <w:widowControl/>
        <w:rPr/>
      </w:pPr>
      <w:bookmarkStart w:id="258" w:name="__RefHeading___Toc8419_528838595"/>
      <w:bookmarkEnd w:id="258"/>
      <w:r>
        <w:rPr/>
        <w:t>15.9 Interpretation</w:t>
      </w:r>
    </w:p>
    <w:p>
      <w:pPr>
        <w:pStyle w:val="Normal"/>
        <w:rPr/>
      </w:pPr>
      <w:bookmarkStart w:id="259" w:name="real-world-adoption-index-rwai"/>
      <w:bookmarkStart w:id="260" w:name="interpretation-5"/>
      <w:r>
        <w:rPr/>
        <w:t>A high RWAI indicates meaningful, persistent and verifiable use connected to the broader economy. It does not imply that the network or assets are risk-free or legally recognised in every jurisdiction.</w:t>
      </w:r>
      <w:bookmarkEnd w:id="259"/>
      <w:bookmarkEnd w:id="260"/>
    </w:p>
    <w:p>
      <w:pPr>
        <w:pStyle w:val="Heading1"/>
        <w:keepNext w:val="true"/>
        <w:keepLines/>
        <w:widowControl/>
        <w:pBdr>
          <w:bottom w:val="single" w:sz="6" w:space="5" w:color="8AB2BF"/>
        </w:pBdr>
        <w:jc w:val="start"/>
        <w:rPr/>
      </w:pPr>
      <w:bookmarkStart w:id="261" w:name="__RefHeading___Toc8421_528838595"/>
      <w:bookmarkEnd w:id="261"/>
      <w:r>
        <w:rPr/>
        <w:t>16. Economic Resilience Index (ERI)</w:t>
      </w:r>
    </w:p>
    <w:p>
      <w:pPr>
        <w:pStyle w:val="Heading2"/>
        <w:keepNext w:val="true"/>
        <w:keepLines/>
        <w:widowControl/>
        <w:rPr/>
      </w:pPr>
      <w:bookmarkStart w:id="262" w:name="__RefHeading___Toc8423_528838595"/>
      <w:bookmarkEnd w:id="262"/>
      <w:r>
        <w:rPr/>
        <w:t>16.1 Purpose</w:t>
      </w:r>
    </w:p>
    <w:p>
      <w:pPr>
        <w:pStyle w:val="Normal"/>
        <w:rPr/>
      </w:pPr>
      <w:bookmarkStart w:id="263" w:name="purpose-7"/>
      <w:r>
        <w:rPr/>
        <w:t>ERI measures the ability of a network economy to retain essential function, absorb shocks and recover. It is historical and stress-oriented. PII measures current integrity; ERI measures performance across adverse conditions.</w:t>
      </w:r>
      <w:bookmarkEnd w:id="263"/>
    </w:p>
    <w:p>
      <w:pPr>
        <w:pStyle w:val="Heading2"/>
        <w:keepNext w:val="true"/>
        <w:keepLines/>
        <w:widowControl/>
        <w:rPr/>
      </w:pPr>
      <w:bookmarkStart w:id="264" w:name="__RefHeading___Toc8425_528838595"/>
      <w:bookmarkEnd w:id="264"/>
      <w:r>
        <w:rPr/>
        <w:t>16.2 ERI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Activity retention</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Ability to preserve useful activity through stress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Liquidity retention</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Ability to preserve market function and depth</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Security-budget sustainability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Capacity to fund security under adverse economics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Treasury and resource resilience</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Resources available for maintenance and recovery</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Shock recovery performance</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Speed, completeness and governance quality of recovery</w:t>
            </w:r>
          </w:p>
        </w:tc>
      </w:tr>
    </w:tbl>
    <w:p>
      <w:pPr>
        <w:pStyle w:val="BodyText"/>
        <w:keepLines/>
        <w:spacing w:before="80" w:after="160"/>
        <w:jc w:val="center"/>
        <w:rPr/>
      </w:pPr>
      <w:r>
        <w:rPr/>
        <w:drawing>
          <wp:inline distT="0" distB="0" distL="0" distR="0">
            <wp:extent cx="5445125" cy="287020"/>
            <wp:effectExtent l="0" t="0" r="0" b="0"/>
            <wp:docPr id="26" name="Picture 26" descr="ERI=0.20AR+0.20LR+0.20SS+0.15TR+0.25SR"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RI=0.20AR+0.20LR+0.20SS+0.15TR+0.25SR" title="Equation"/>
                    <pic:cNvPicPr>
                      <a:picLocks noChangeAspect="1" noChangeArrowheads="1"/>
                    </pic:cNvPicPr>
                  </pic:nvPicPr>
                  <pic:blipFill>
                    <a:blip r:embed="rId27"/>
                    <a:stretch>
                      <a:fillRect/>
                    </a:stretch>
                  </pic:blipFill>
                  <pic:spPr bwMode="auto">
                    <a:xfrm>
                      <a:off x="0" y="0"/>
                      <a:ext cx="5445125" cy="287020"/>
                    </a:xfrm>
                    <a:prstGeom prst="rect">
                      <a:avLst/>
                    </a:prstGeom>
                    <a:noFill/>
                  </pic:spPr>
                </pic:pic>
              </a:graphicData>
            </a:graphic>
          </wp:inline>
        </w:drawing>
      </w:r>
    </w:p>
    <w:p>
      <w:pPr>
        <w:pStyle w:val="Heading2"/>
        <w:keepNext w:val="true"/>
        <w:keepLines/>
        <w:widowControl/>
        <w:rPr/>
      </w:pPr>
      <w:bookmarkStart w:id="265" w:name="__RefHeading___Toc8427_528838595"/>
      <w:bookmarkEnd w:id="265"/>
      <w:r>
        <w:rPr/>
        <w:t>16.3 Stress-event registry</w:t>
      </w:r>
    </w:p>
    <w:p>
      <w:pPr>
        <w:pStyle w:val="Normal"/>
        <w:rPr/>
      </w:pPr>
      <w:r>
        <w:rPr/>
        <w:t>The DAO maintains a versioned registry of qualifying stress events, including:</w:t>
      </w:r>
    </w:p>
    <w:p>
      <w:pPr>
        <w:pStyle w:val="Compact"/>
        <w:widowControl/>
        <w:numPr>
          <w:ilvl w:val="0"/>
          <w:numId w:val="1081"/>
        </w:numPr>
        <w:rPr/>
      </w:pPr>
      <w:r>
        <w:rPr/>
        <w:t>major crypto-market drawdowns;</w:t>
      </w:r>
    </w:p>
    <w:p>
      <w:pPr>
        <w:pStyle w:val="Compact"/>
        <w:widowControl/>
        <w:numPr>
          <w:ilvl w:val="0"/>
          <w:numId w:val="1082"/>
        </w:numPr>
        <w:rPr/>
      </w:pPr>
      <w:r>
        <w:rPr/>
        <w:t>chain outages or severe congestion;</w:t>
      </w:r>
    </w:p>
    <w:p>
      <w:pPr>
        <w:pStyle w:val="Compact"/>
        <w:widowControl/>
        <w:numPr>
          <w:ilvl w:val="0"/>
          <w:numId w:val="1083"/>
        </w:numPr>
        <w:rPr/>
      </w:pPr>
      <w:r>
        <w:rPr/>
        <w:t>consensus or bridge exploits;</w:t>
      </w:r>
    </w:p>
    <w:p>
      <w:pPr>
        <w:pStyle w:val="Compact"/>
        <w:widowControl/>
        <w:numPr>
          <w:ilvl w:val="0"/>
          <w:numId w:val="1084"/>
        </w:numPr>
        <w:rPr/>
      </w:pPr>
      <w:r>
        <w:rPr/>
        <w:t>stablecoin de-pegs;</w:t>
      </w:r>
    </w:p>
    <w:p>
      <w:pPr>
        <w:pStyle w:val="Compact"/>
        <w:widowControl/>
        <w:numPr>
          <w:ilvl w:val="0"/>
          <w:numId w:val="1085"/>
        </w:numPr>
        <w:rPr/>
      </w:pPr>
      <w:r>
        <w:rPr/>
        <w:t>validator, miner or sequencer exits;</w:t>
      </w:r>
    </w:p>
    <w:p>
      <w:pPr>
        <w:pStyle w:val="Compact"/>
        <w:widowControl/>
        <w:numPr>
          <w:ilvl w:val="0"/>
          <w:numId w:val="1086"/>
        </w:numPr>
        <w:rPr/>
      </w:pPr>
      <w:r>
        <w:rPr/>
        <w:t>liquidity withdrawals;</w:t>
      </w:r>
    </w:p>
    <w:p>
      <w:pPr>
        <w:pStyle w:val="Compact"/>
        <w:widowControl/>
        <w:numPr>
          <w:ilvl w:val="0"/>
          <w:numId w:val="1087"/>
        </w:numPr>
        <w:rPr/>
      </w:pPr>
      <w:r>
        <w:rPr/>
        <w:t>regulatory or infrastructure disruptions;</w:t>
      </w:r>
    </w:p>
    <w:p>
      <w:pPr>
        <w:pStyle w:val="Compact"/>
        <w:widowControl/>
        <w:numPr>
          <w:ilvl w:val="0"/>
          <w:numId w:val="1088"/>
        </w:numPr>
        <w:rPr/>
      </w:pPr>
      <w:r>
        <w:rPr/>
        <w:t>application failures with systemic network effect.</w:t>
      </w:r>
    </w:p>
    <w:p>
      <w:pPr>
        <w:pStyle w:val="Normal"/>
        <w:rPr/>
      </w:pPr>
      <w:bookmarkStart w:id="266" w:name="stress-event-registry"/>
      <w:r>
        <w:rPr/>
        <w:t>Events are included using published thresholds, not subjective selection after seeing outcomes.</w:t>
      </w:r>
      <w:bookmarkEnd w:id="266"/>
    </w:p>
    <w:p>
      <w:pPr>
        <w:pStyle w:val="Heading2"/>
        <w:keepNext w:val="true"/>
        <w:keepLines/>
        <w:widowControl/>
        <w:rPr/>
      </w:pPr>
      <w:bookmarkStart w:id="267" w:name="__RefHeading___Toc8429_528838595"/>
      <w:bookmarkEnd w:id="267"/>
      <w:r>
        <w:rPr/>
        <w:t>16.4 Activity retention</w:t>
      </w:r>
    </w:p>
    <w:p>
      <w:pPr>
        <w:pStyle w:val="Normal"/>
        <w:rPr/>
      </w:pPr>
      <w:r>
        <w:rPr/>
        <w:t>Activity retention compares pre-stress baseline with trough and recovery levels:</w:t>
      </w:r>
    </w:p>
    <w:p>
      <w:pPr>
        <w:pStyle w:val="BodyText"/>
        <w:keepLines/>
        <w:spacing w:before="80" w:after="160"/>
        <w:jc w:val="center"/>
        <w:rPr/>
      </w:pPr>
      <w:r>
        <w:rPr/>
        <w:drawing>
          <wp:inline distT="0" distB="0" distL="0" distR="0">
            <wp:extent cx="2307590" cy="515620"/>
            <wp:effectExtent l="0" t="0" r="0" b="0"/>
            <wp:docPr id="27" name="Picture 27" descr="\mathrm{Retention}=\frac{\mathrm{Activity}_{\mathrm{stress}}}{\mathrm{Activity}_{\mathrm{baseline}}}"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mathrm{Retention}=\frac{\mathrm{Activity}_{\mathrm{stress}}}{\mathrm{Activity}_{\mathrm{baseline}}}" title="Equation"/>
                    <pic:cNvPicPr>
                      <a:picLocks noChangeAspect="1" noChangeArrowheads="1"/>
                    </pic:cNvPicPr>
                  </pic:nvPicPr>
                  <pic:blipFill>
                    <a:blip r:embed="rId28"/>
                    <a:stretch>
                      <a:fillRect/>
                    </a:stretch>
                  </pic:blipFill>
                  <pic:spPr bwMode="auto">
                    <a:xfrm>
                      <a:off x="0" y="0"/>
                      <a:ext cx="2307590" cy="515620"/>
                    </a:xfrm>
                    <a:prstGeom prst="rect">
                      <a:avLst/>
                    </a:prstGeom>
                    <a:noFill/>
                  </pic:spPr>
                </pic:pic>
              </a:graphicData>
            </a:graphic>
          </wp:inline>
        </w:drawing>
      </w:r>
    </w:p>
    <w:p>
      <w:pPr>
        <w:pStyle w:val="Normal"/>
        <w:keepLines/>
        <w:spacing w:before="80" w:after="160"/>
        <w:jc w:val="center"/>
        <w:rPr/>
      </w:pPr>
      <w:r>
        <w:rPr/>
        <w:drawing>
          <wp:inline distT="0" distB="0" distL="0" distR="0">
            <wp:extent cx="3413760" cy="546100"/>
            <wp:effectExtent l="0" t="0" r="0" b="0"/>
            <wp:docPr id="28" name="Picture 28" descr="\mathrm{Recovery}=\frac{\mathrm{Activity}_{\mathrm{post}}-\mathrm{Activity}_{\mathrm{trough}}}{\mathrm{Activity}_{\mathrm{baseline}}-\mathrm{Activity}_{\mathrm{trough}}}"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mathrm{Recovery}=\frac{\mathrm{Activity}_{\mathrm{post}}-\mathrm{Activity}_{\mathrm{trough}}}{\mathrm{Activity}_{\mathrm{baseline}}-\mathrm{Activity}_{\mathrm{trough}}}" title="Equation"/>
                    <pic:cNvPicPr>
                      <a:picLocks noChangeAspect="1" noChangeArrowheads="1"/>
                    </pic:cNvPicPr>
                  </pic:nvPicPr>
                  <pic:blipFill>
                    <a:blip r:embed="rId29"/>
                    <a:stretch>
                      <a:fillRect/>
                    </a:stretch>
                  </pic:blipFill>
                  <pic:spPr bwMode="auto">
                    <a:xfrm>
                      <a:off x="0" y="0"/>
                      <a:ext cx="3413760" cy="546100"/>
                    </a:xfrm>
                    <a:prstGeom prst="rect">
                      <a:avLst/>
                    </a:prstGeom>
                    <a:noFill/>
                  </pic:spPr>
                </pic:pic>
              </a:graphicData>
            </a:graphic>
          </wp:inline>
        </w:drawing>
      </w:r>
    </w:p>
    <w:p>
      <w:pPr>
        <w:pStyle w:val="Normal"/>
        <w:rPr/>
      </w:pPr>
      <w:bookmarkStart w:id="268" w:name="activity-retention"/>
      <w:r>
        <w:rPr/>
        <w:t>The component uses multiple activity measures to avoid rewarding spam or temporary incentive replacement.</w:t>
      </w:r>
      <w:bookmarkEnd w:id="268"/>
    </w:p>
    <w:p>
      <w:pPr>
        <w:pStyle w:val="Heading2"/>
        <w:keepNext w:val="true"/>
        <w:keepLines/>
        <w:widowControl/>
        <w:rPr/>
      </w:pPr>
      <w:bookmarkStart w:id="269" w:name="__RefHeading___Toc8431_528838595"/>
      <w:bookmarkEnd w:id="269"/>
      <w:r>
        <w:rPr/>
        <w:t>16.5 Liquidity retention</w:t>
      </w:r>
    </w:p>
    <w:p>
      <w:pPr>
        <w:pStyle w:val="Normal"/>
        <w:rPr/>
      </w:pPr>
      <w:bookmarkStart w:id="270" w:name="liquidity-retention"/>
      <w:r>
        <w:rPr/>
        <w:t>Liquidity resilience examines depth, slippage, stablecoin integrity, liquidation behaviour and venue continuity during stress. A network with high normal-period TVL but catastrophic depth loss receives a weaker ERI.</w:t>
      </w:r>
      <w:bookmarkEnd w:id="270"/>
    </w:p>
    <w:p>
      <w:pPr>
        <w:pStyle w:val="Heading2"/>
        <w:keepNext w:val="true"/>
        <w:keepLines/>
        <w:widowControl/>
        <w:rPr/>
      </w:pPr>
      <w:bookmarkStart w:id="271" w:name="__RefHeading___Toc8433_528838595"/>
      <w:bookmarkEnd w:id="271"/>
      <w:r>
        <w:rPr/>
        <w:t>16.6 Security-budget sustainability</w:t>
      </w:r>
    </w:p>
    <w:p>
      <w:pPr>
        <w:pStyle w:val="Normal"/>
        <w:rPr/>
      </w:pPr>
      <w:r>
        <w:rPr/>
        <w:t>Security-budget sustainability measures whether validators, miners, sequencers and critical infrastructure remain economically supported when token price, issuance or fees decline. Evidence may include:</w:t>
      </w:r>
    </w:p>
    <w:p>
      <w:pPr>
        <w:pStyle w:val="Compact"/>
        <w:widowControl/>
        <w:numPr>
          <w:ilvl w:val="0"/>
          <w:numId w:val="1089"/>
        </w:numPr>
        <w:rPr/>
      </w:pPr>
      <w:r>
        <w:rPr/>
        <w:t>fee coverage of security expenditure;</w:t>
      </w:r>
    </w:p>
    <w:p>
      <w:pPr>
        <w:pStyle w:val="Compact"/>
        <w:widowControl/>
        <w:numPr>
          <w:ilvl w:val="0"/>
          <w:numId w:val="1090"/>
        </w:numPr>
        <w:rPr/>
      </w:pPr>
      <w:r>
        <w:rPr/>
        <w:t>validator or miner exit rates;</w:t>
      </w:r>
    </w:p>
    <w:p>
      <w:pPr>
        <w:pStyle w:val="Compact"/>
        <w:widowControl/>
        <w:numPr>
          <w:ilvl w:val="0"/>
          <w:numId w:val="1091"/>
        </w:numPr>
        <w:rPr/>
      </w:pPr>
      <w:r>
        <w:rPr/>
        <w:t>concentration changes during stress;</w:t>
      </w:r>
    </w:p>
    <w:p>
      <w:pPr>
        <w:pStyle w:val="Compact"/>
        <w:widowControl/>
        <w:numPr>
          <w:ilvl w:val="0"/>
          <w:numId w:val="1092"/>
        </w:numPr>
        <w:rPr/>
      </w:pPr>
      <w:r>
        <w:rPr/>
        <w:t>profitability sensitivity;</w:t>
      </w:r>
    </w:p>
    <w:p>
      <w:pPr>
        <w:pStyle w:val="Compact"/>
        <w:widowControl/>
        <w:numPr>
          <w:ilvl w:val="0"/>
          <w:numId w:val="1093"/>
        </w:numPr>
        <w:rPr/>
      </w:pPr>
      <w:r>
        <w:rPr/>
        <w:t>reserve and insurance mechanisms;</w:t>
      </w:r>
    </w:p>
    <w:p>
      <w:pPr>
        <w:pStyle w:val="Compact"/>
        <w:widowControl/>
        <w:numPr>
          <w:ilvl w:val="0"/>
          <w:numId w:val="1094"/>
        </w:numPr>
        <w:rPr/>
      </w:pPr>
      <w:bookmarkStart w:id="272" w:name="security-budget-sustainability"/>
      <w:r>
        <w:rPr/>
        <w:t>dependency on temporary emissions.</w:t>
      </w:r>
      <w:bookmarkEnd w:id="272"/>
    </w:p>
    <w:p>
      <w:pPr>
        <w:pStyle w:val="Heading2"/>
        <w:keepNext w:val="true"/>
        <w:keepLines/>
        <w:widowControl/>
        <w:rPr/>
      </w:pPr>
      <w:bookmarkStart w:id="273" w:name="__RefHeading___Toc8435_528838595"/>
      <w:bookmarkEnd w:id="273"/>
      <w:r>
        <w:rPr/>
        <w:t>16.7 Treasury and resource resilience</w:t>
      </w:r>
    </w:p>
    <w:p>
      <w:pPr>
        <w:pStyle w:val="Normal"/>
        <w:rPr/>
      </w:pPr>
      <w:r>
        <w:rPr/>
        <w:t>This sub-index measures resources available to maintain software, respond to incidents and fund public goods. It considers:</w:t>
      </w:r>
    </w:p>
    <w:p>
      <w:pPr>
        <w:pStyle w:val="Compact"/>
        <w:widowControl/>
        <w:numPr>
          <w:ilvl w:val="0"/>
          <w:numId w:val="1095"/>
        </w:numPr>
        <w:rPr/>
      </w:pPr>
      <w:r>
        <w:rPr/>
        <w:t>liquid and diversified treasury assets;</w:t>
      </w:r>
    </w:p>
    <w:p>
      <w:pPr>
        <w:pStyle w:val="Compact"/>
        <w:widowControl/>
        <w:numPr>
          <w:ilvl w:val="0"/>
          <w:numId w:val="1096"/>
        </w:numPr>
        <w:rPr/>
      </w:pPr>
      <w:r>
        <w:rPr/>
        <w:t>burn rate and operating runway;</w:t>
      </w:r>
    </w:p>
    <w:p>
      <w:pPr>
        <w:pStyle w:val="Compact"/>
        <w:widowControl/>
        <w:numPr>
          <w:ilvl w:val="0"/>
          <w:numId w:val="1097"/>
        </w:numPr>
        <w:rPr/>
      </w:pPr>
      <w:r>
        <w:rPr/>
        <w:t>concentration in the native token;</w:t>
      </w:r>
    </w:p>
    <w:p>
      <w:pPr>
        <w:pStyle w:val="Compact"/>
        <w:widowControl/>
        <w:numPr>
          <w:ilvl w:val="0"/>
          <w:numId w:val="1098"/>
        </w:numPr>
        <w:rPr/>
      </w:pPr>
      <w:r>
        <w:rPr/>
        <w:t>transparent spending controls;</w:t>
      </w:r>
    </w:p>
    <w:p>
      <w:pPr>
        <w:pStyle w:val="Compact"/>
        <w:widowControl/>
        <w:numPr>
          <w:ilvl w:val="0"/>
          <w:numId w:val="1099"/>
        </w:numPr>
        <w:rPr/>
      </w:pPr>
      <w:r>
        <w:rPr/>
        <w:t>insurance or safety modules;</w:t>
      </w:r>
    </w:p>
    <w:p>
      <w:pPr>
        <w:pStyle w:val="Compact"/>
        <w:widowControl/>
        <w:numPr>
          <w:ilvl w:val="0"/>
          <w:numId w:val="1100"/>
        </w:numPr>
        <w:rPr/>
      </w:pPr>
      <w:bookmarkStart w:id="274" w:name="treasury-and-resource-resilience"/>
      <w:r>
        <w:rPr/>
        <w:t>ability to fund urgent remediation without arbitrary dilution.</w:t>
      </w:r>
      <w:bookmarkEnd w:id="274"/>
    </w:p>
    <w:p>
      <w:pPr>
        <w:pStyle w:val="Heading2"/>
        <w:keepNext w:val="true"/>
        <w:keepLines/>
        <w:widowControl/>
        <w:rPr/>
      </w:pPr>
      <w:bookmarkStart w:id="275" w:name="__RefHeading___Toc8437_528838595"/>
      <w:bookmarkEnd w:id="275"/>
      <w:r>
        <w:rPr/>
        <w:t>16.8 Shock recovery performance</w:t>
      </w:r>
    </w:p>
    <w:p>
      <w:pPr>
        <w:pStyle w:val="Normal"/>
        <w:rPr/>
      </w:pPr>
      <w:r>
        <w:rPr/>
        <w:t>Recovery quality considers:</w:t>
      </w:r>
    </w:p>
    <w:p>
      <w:pPr>
        <w:pStyle w:val="Compact"/>
        <w:widowControl/>
        <w:numPr>
          <w:ilvl w:val="0"/>
          <w:numId w:val="1101"/>
        </w:numPr>
        <w:rPr/>
      </w:pPr>
      <w:r>
        <w:rPr/>
        <w:t>time to restore normal operation;</w:t>
      </w:r>
    </w:p>
    <w:p>
      <w:pPr>
        <w:pStyle w:val="Compact"/>
        <w:widowControl/>
        <w:numPr>
          <w:ilvl w:val="0"/>
          <w:numId w:val="1102"/>
        </w:numPr>
        <w:rPr/>
      </w:pPr>
      <w:r>
        <w:rPr/>
        <w:t>percentage of lost activity or liquidity recovered;</w:t>
      </w:r>
    </w:p>
    <w:p>
      <w:pPr>
        <w:pStyle w:val="Compact"/>
        <w:widowControl/>
        <w:numPr>
          <w:ilvl w:val="0"/>
          <w:numId w:val="1103"/>
        </w:numPr>
        <w:rPr/>
      </w:pPr>
      <w:r>
        <w:rPr/>
        <w:t>treatment of affected users;</w:t>
      </w:r>
    </w:p>
    <w:p>
      <w:pPr>
        <w:pStyle w:val="Compact"/>
        <w:widowControl/>
        <w:numPr>
          <w:ilvl w:val="0"/>
          <w:numId w:val="1104"/>
        </w:numPr>
        <w:rPr/>
      </w:pPr>
      <w:r>
        <w:rPr/>
        <w:t>transparency and post-mortem quality;</w:t>
      </w:r>
    </w:p>
    <w:p>
      <w:pPr>
        <w:pStyle w:val="Compact"/>
        <w:widowControl/>
        <w:numPr>
          <w:ilvl w:val="0"/>
          <w:numId w:val="1105"/>
        </w:numPr>
        <w:rPr/>
      </w:pPr>
      <w:r>
        <w:rPr/>
        <w:t>remediation completion;</w:t>
      </w:r>
    </w:p>
    <w:p>
      <w:pPr>
        <w:pStyle w:val="Compact"/>
        <w:widowControl/>
        <w:numPr>
          <w:ilvl w:val="0"/>
          <w:numId w:val="1106"/>
        </w:numPr>
        <w:rPr/>
      </w:pPr>
      <w:r>
        <w:rPr/>
        <w:t>recurrence prevention;</w:t>
      </w:r>
    </w:p>
    <w:p>
      <w:pPr>
        <w:pStyle w:val="Compact"/>
        <w:widowControl/>
        <w:numPr>
          <w:ilvl w:val="0"/>
          <w:numId w:val="1107"/>
        </w:numPr>
        <w:rPr/>
      </w:pPr>
      <w:r>
        <w:rPr/>
        <w:t>governance coordination and decision latency.</w:t>
      </w:r>
    </w:p>
    <w:p>
      <w:pPr>
        <w:pStyle w:val="Normal"/>
        <w:rPr/>
      </w:pPr>
      <w:bookmarkStart w:id="276" w:name="shock-recovery-performance"/>
      <w:r>
        <w:rPr/>
        <w:t>Fast recovery through opaque central intervention may restore function but reduce PII if control risk is exposed. The framework records both outcomes rather than forcing one narrative.</w:t>
      </w:r>
      <w:bookmarkEnd w:id="276"/>
    </w:p>
    <w:p>
      <w:pPr>
        <w:pStyle w:val="Heading2"/>
        <w:keepNext w:val="true"/>
        <w:keepLines/>
        <w:widowControl/>
        <w:rPr/>
      </w:pPr>
      <w:bookmarkStart w:id="277" w:name="__RefHeading___Toc8439_528838595"/>
      <w:bookmarkEnd w:id="277"/>
      <w:r>
        <w:rPr/>
        <w:t>16.9 Minimum history</w:t>
      </w:r>
    </w:p>
    <w:p>
      <w:pPr>
        <w:pStyle w:val="Normal"/>
        <w:rPr/>
      </w:pPr>
      <w:bookmarkStart w:id="278" w:name="minimum-history"/>
      <w:r>
        <w:rPr/>
        <w:t>A network requires at least 180 days of data for an official ERI and preferably evidence across at least one qualifying stress period. New networks may receive a provisional ERI based on scenario analysis, but VCS and publication status must make the limited history clear.</w:t>
      </w:r>
      <w:bookmarkEnd w:id="278"/>
    </w:p>
    <w:p>
      <w:pPr>
        <w:pStyle w:val="Heading2"/>
        <w:keepNext w:val="true"/>
        <w:keepLines/>
        <w:widowControl/>
        <w:rPr/>
      </w:pPr>
      <w:bookmarkStart w:id="279" w:name="__RefHeading___Toc8441_528838595"/>
      <w:bookmarkEnd w:id="279"/>
      <w:r>
        <w:rPr/>
        <w:t>16.10 Interpretation</w:t>
      </w:r>
    </w:p>
    <w:p>
      <w:pPr>
        <w:pStyle w:val="Normal"/>
        <w:rPr/>
      </w:pPr>
      <w:bookmarkStart w:id="280" w:name="economic-resilience-index-eri"/>
      <w:bookmarkStart w:id="281" w:name="interpretation-6"/>
      <w:r>
        <w:rPr/>
        <w:t>A high ERI indicates demonstrated capacity to retain function and recover through adverse conditions. Historical resilience does not guarantee future resilience, especially when architecture, governance or market structure changes.</w:t>
      </w:r>
      <w:bookmarkEnd w:id="280"/>
      <w:bookmarkEnd w:id="281"/>
    </w:p>
    <w:p>
      <w:pPr>
        <w:pStyle w:val="Heading1"/>
        <w:keepNext w:val="true"/>
        <w:keepLines/>
        <w:widowControl/>
        <w:pBdr>
          <w:bottom w:val="single" w:sz="6" w:space="5" w:color="8AB2BF"/>
        </w:pBdr>
        <w:jc w:val="start"/>
        <w:rPr/>
      </w:pPr>
      <w:bookmarkStart w:id="282" w:name="__RefHeading___Toc8443_528838595"/>
      <w:bookmarkEnd w:id="282"/>
      <w:r>
        <w:rPr/>
        <w:t>17. Aggregation, Missing Data and Publication Rules</w:t>
      </w:r>
    </w:p>
    <w:p>
      <w:pPr>
        <w:pStyle w:val="Heading2"/>
        <w:keepNext w:val="true"/>
        <w:keepLines/>
        <w:widowControl/>
        <w:rPr/>
      </w:pPr>
      <w:bookmarkStart w:id="283" w:name="__RefHeading___Toc8445_528838595"/>
      <w:bookmarkStart w:id="284" w:name="no-arbitrary-neutral-value"/>
      <w:bookmarkEnd w:id="283"/>
      <w:r>
        <w:rPr/>
        <w:t>17.1 No arbitrary neutral value</w:t>
      </w:r>
    </w:p>
    <w:p>
      <w:pPr>
        <w:pStyle w:val="Normal"/>
        <w:rPr/>
      </w:pPr>
      <w:r>
        <w:rPr/>
        <w:t>Edition 3.1 prohibits the use of an automatic 0.5 or 50 score for missing data. A neutral placeholder creates a false claim about performance.</w:t>
      </w:r>
    </w:p>
    <w:p>
      <w:pPr>
        <w:pStyle w:val="BodyText"/>
        <w:widowControl/>
        <w:rPr/>
      </w:pPr>
      <w:r>
        <w:rPr/>
        <w:t>The framework distinguishes:</w:t>
      </w:r>
    </w:p>
    <w:p>
      <w:pPr>
        <w:pStyle w:val="Compact"/>
        <w:widowControl/>
        <w:numPr>
          <w:ilvl w:val="0"/>
          <w:numId w:val="1108"/>
        </w:numPr>
        <w:rPr/>
      </w:pPr>
      <w:r>
        <w:rPr>
          <w:b/>
          <w:bCs/>
        </w:rPr>
        <w:t>functionally absent</w:t>
      </w:r>
      <w:r>
        <w:rPr/>
        <w:t xml:space="preserve"> — the economic function is genuinely not present;</w:t>
      </w:r>
    </w:p>
    <w:p>
      <w:pPr>
        <w:pStyle w:val="Compact"/>
        <w:widowControl/>
        <w:numPr>
          <w:ilvl w:val="0"/>
          <w:numId w:val="1109"/>
        </w:numPr>
        <w:rPr/>
      </w:pPr>
      <w:r>
        <w:rPr>
          <w:b/>
          <w:bCs/>
        </w:rPr>
        <w:t>not applicable by design</w:t>
      </w:r>
      <w:r>
        <w:rPr/>
        <w:t xml:space="preserve"> — the universal function exists but is evidenced differently through an adapter;</w:t>
      </w:r>
    </w:p>
    <w:p>
      <w:pPr>
        <w:pStyle w:val="Compact"/>
        <w:widowControl/>
        <w:numPr>
          <w:ilvl w:val="0"/>
          <w:numId w:val="1110"/>
        </w:numPr>
        <w:rPr/>
      </w:pPr>
      <w:r>
        <w:rPr>
          <w:b/>
          <w:bCs/>
        </w:rPr>
        <w:t>temporarily unavailable</w:t>
      </w:r>
      <w:r>
        <w:rPr/>
        <w:t xml:space="preserve"> — the function exists but data acquisition failed;</w:t>
      </w:r>
    </w:p>
    <w:p>
      <w:pPr>
        <w:pStyle w:val="Compact"/>
        <w:widowControl/>
        <w:numPr>
          <w:ilvl w:val="0"/>
          <w:numId w:val="1111"/>
        </w:numPr>
        <w:rPr/>
      </w:pPr>
      <w:r>
        <w:rPr>
          <w:b/>
          <w:bCs/>
        </w:rPr>
        <w:t>unobservable</w:t>
      </w:r>
      <w:r>
        <w:rPr/>
        <w:t xml:space="preserve"> — evidence cannot be verified under the current adapter;</w:t>
      </w:r>
    </w:p>
    <w:p>
      <w:pPr>
        <w:pStyle w:val="Compact"/>
        <w:widowControl/>
        <w:numPr>
          <w:ilvl w:val="0"/>
          <w:numId w:val="1112"/>
        </w:numPr>
        <w:rPr/>
      </w:pPr>
      <w:r>
        <w:rPr>
          <w:b/>
          <w:bCs/>
        </w:rPr>
        <w:t>not yet implemented</w:t>
      </w:r>
      <w:r>
        <w:rPr/>
        <w:t xml:space="preserve"> — the adapter lacks the metric.</w:t>
      </w:r>
      <w:bookmarkEnd w:id="284"/>
    </w:p>
    <w:p>
      <w:pPr>
        <w:pStyle w:val="Heading2"/>
        <w:keepNext w:val="true"/>
        <w:keepLines/>
        <w:widowControl/>
        <w:rPr/>
      </w:pPr>
      <w:bookmarkStart w:id="285" w:name="__RefHeading___Toc8447_528838595"/>
      <w:bookmarkEnd w:id="285"/>
      <w:r>
        <w:rPr/>
        <w:t>17.2 Functional absence</w:t>
      </w:r>
    </w:p>
    <w:p>
      <w:pPr>
        <w:pStyle w:val="Normal"/>
        <w:rPr/>
      </w:pPr>
      <w:bookmarkStart w:id="286" w:name="functional-absence"/>
      <w:r>
        <w:rPr/>
        <w:t>If a network does not perform a measured economic function, the relevant sub-index can receive a low or zero score. For example, a network with no meaningful external adoption should not receive a neutral RWAI merely because RWAI is optional to its strategy. Voxonomics measures what exists, not what the network intends to prioritise.</w:t>
      </w:r>
      <w:bookmarkEnd w:id="286"/>
    </w:p>
    <w:p>
      <w:pPr>
        <w:pStyle w:val="Heading2"/>
        <w:keepNext w:val="true"/>
        <w:keepLines/>
        <w:widowControl/>
        <w:rPr/>
      </w:pPr>
      <w:bookmarkStart w:id="287" w:name="__RefHeading___Toc8449_528838595"/>
      <w:bookmarkEnd w:id="287"/>
      <w:r>
        <w:rPr/>
        <w:t>17.3 Technical non-applicability</w:t>
      </w:r>
    </w:p>
    <w:p>
      <w:pPr>
        <w:pStyle w:val="Normal"/>
        <w:rPr/>
      </w:pPr>
      <w:bookmarkStart w:id="288" w:name="technical-non-applicability"/>
      <w:r>
        <w:rPr/>
        <w:t>Technical non-applicability is handled through an equivalent adapter. A proof-of-work network does not need a staked-supply ratio, but it does need evidence for distributed security participation. The universal function remains applicable.</w:t>
      </w:r>
      <w:bookmarkEnd w:id="288"/>
    </w:p>
    <w:p>
      <w:pPr>
        <w:pStyle w:val="Heading2"/>
        <w:keepNext w:val="true"/>
        <w:keepLines/>
        <w:widowControl/>
        <w:rPr/>
      </w:pPr>
      <w:bookmarkStart w:id="289" w:name="__RefHeading___Toc8451_528838595"/>
      <w:bookmarkEnd w:id="289"/>
      <w:r>
        <w:rPr/>
        <w:t>17.4 Coverage thresholds</w:t>
      </w:r>
    </w:p>
    <w:p>
      <w:pPr>
        <w:pStyle w:val="Normal"/>
        <w:rPr/>
      </w:pPr>
      <w:r>
        <w:rPr/>
        <w:t>For an official parent index:</w:t>
      </w:r>
    </w:p>
    <w:p>
      <w:pPr>
        <w:pStyle w:val="Compact"/>
        <w:widowControl/>
        <w:numPr>
          <w:ilvl w:val="0"/>
          <w:numId w:val="1113"/>
        </w:numPr>
        <w:rPr/>
      </w:pPr>
      <w:r>
        <w:rPr/>
        <w:t>at least 80% of approved sub-index weight must have valid evidence;</w:t>
      </w:r>
    </w:p>
    <w:p>
      <w:pPr>
        <w:pStyle w:val="Compact"/>
        <w:widowControl/>
        <w:numPr>
          <w:ilvl w:val="0"/>
          <w:numId w:val="1114"/>
        </w:numPr>
        <w:rPr/>
      </w:pPr>
      <w:r>
        <w:rPr/>
        <w:t>no mandatory critical sub-index may be missing;</w:t>
      </w:r>
    </w:p>
    <w:p>
      <w:pPr>
        <w:pStyle w:val="Compact"/>
        <w:widowControl/>
        <w:numPr>
          <w:ilvl w:val="0"/>
          <w:numId w:val="1115"/>
        </w:numPr>
        <w:rPr/>
      </w:pPr>
      <w:r>
        <w:rPr/>
        <w:t>source and freshness thresholds must be met;</w:t>
      </w:r>
    </w:p>
    <w:p>
      <w:pPr>
        <w:pStyle w:val="Compact"/>
        <w:widowControl/>
        <w:numPr>
          <w:ilvl w:val="0"/>
          <w:numId w:val="1116"/>
        </w:numPr>
        <w:rPr/>
      </w:pPr>
      <w:r>
        <w:rPr/>
        <w:t>the parent-index confidence must be at least 55.</w:t>
      </w:r>
    </w:p>
    <w:p>
      <w:pPr>
        <w:pStyle w:val="Normal"/>
        <w:rPr/>
      </w:pPr>
      <w:bookmarkStart w:id="290" w:name="coverage-thresholds"/>
      <w:r>
        <w:rPr/>
        <w:t>An official VTS requires all six official parent indices and overall VCS of at least 70.</w:t>
      </w:r>
      <w:bookmarkEnd w:id="290"/>
    </w:p>
    <w:p>
      <w:pPr>
        <w:pStyle w:val="Heading2"/>
        <w:keepNext w:val="true"/>
        <w:keepLines/>
        <w:widowControl/>
        <w:rPr/>
      </w:pPr>
      <w:bookmarkStart w:id="291" w:name="__RefHeading___Toc8453_528838595"/>
      <w:bookmarkEnd w:id="291"/>
      <w:r>
        <w:rPr/>
        <w:t>17.5 Partial aggregation</w:t>
      </w:r>
    </w:p>
    <w:p>
      <w:pPr>
        <w:pStyle w:val="Normal"/>
        <w:rPr/>
      </w:pPr>
      <w:r>
        <w:rPr/>
        <w:t>Where a provisional index is calculated with partial evidence, observed weights are renormalised only for diagnostic display:</w:t>
      </w:r>
    </w:p>
    <w:p>
      <w:pPr>
        <w:pStyle w:val="BodyText"/>
        <w:keepLines/>
        <w:spacing w:before="80" w:after="160"/>
        <w:jc w:val="center"/>
        <w:rPr/>
      </w:pPr>
      <w:r>
        <w:rPr/>
        <w:drawing>
          <wp:inline distT="0" distB="0" distL="0" distR="0">
            <wp:extent cx="2273300" cy="874395"/>
            <wp:effectExtent l="0" t="0" r="0" b="0"/>
            <wp:docPr id="29" name="Picture 29" descr="Index_{\mathrm{provisional}}=\frac{\sum_{k\in O}w_k s_k}{\sum_{k\in O}w_k}"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ndex_{\mathrm{provisional}}=\frac{\sum_{k\in O}w_k s_k}{\sum_{k\in O}w_k}" title="Equation"/>
                    <pic:cNvPicPr>
                      <a:picLocks noChangeAspect="1" noChangeArrowheads="1"/>
                    </pic:cNvPicPr>
                  </pic:nvPicPr>
                  <pic:blipFill>
                    <a:blip r:embed="rId30"/>
                    <a:stretch>
                      <a:fillRect/>
                    </a:stretch>
                  </pic:blipFill>
                  <pic:spPr bwMode="auto">
                    <a:xfrm>
                      <a:off x="0" y="0"/>
                      <a:ext cx="2273300" cy="874395"/>
                    </a:xfrm>
                    <a:prstGeom prst="rect">
                      <a:avLst/>
                    </a:prstGeom>
                    <a:noFill/>
                  </pic:spPr>
                </pic:pic>
              </a:graphicData>
            </a:graphic>
          </wp:inline>
        </w:drawing>
      </w:r>
    </w:p>
    <w:p>
      <w:pPr>
        <w:pStyle w:val="Normal"/>
        <w:rPr/>
      </w:pPr>
      <w:r>
        <w:rPr/>
        <w:t>where O is the observed set. The result is labelled provisional and cannot be treated as directly equivalent to an official index.</w:t>
      </w:r>
    </w:p>
    <w:p>
      <w:pPr>
        <w:pStyle w:val="Heading2"/>
        <w:keepNext w:val="true"/>
        <w:keepLines/>
        <w:widowControl/>
        <w:rPr/>
      </w:pPr>
      <w:bookmarkStart w:id="292" w:name="__RefHeading___Toc8455_528838595"/>
      <w:bookmarkEnd w:id="292"/>
      <w:r>
        <w:rPr/>
        <w:t>17.6 Publication bands</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3855"/>
        <w:gridCol w:w="2889"/>
        <w:gridCol w:w="2894"/>
      </w:tblGrid>
      <w:tr>
        <w:trPr>
          <w:tblHeader w:val="true"/>
          <w:cantSplit w:val="true"/>
        </w:trPr>
        <w:tc>
          <w:tcPr>
            <w:tcW w:w="3855"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VCS</w:t>
            </w:r>
          </w:p>
        </w:tc>
        <w:tc>
          <w:tcPr>
            <w:tcW w:w="288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Publication status</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Use</w:t>
            </w:r>
          </w:p>
        </w:tc>
      </w:tr>
      <w:tr>
        <w:trPr>
          <w:cantSplit w:val="true"/>
        </w:trPr>
        <w:tc>
          <w:tcPr>
            <w:tcW w:w="3855"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85–100</w:t>
            </w:r>
          </w:p>
        </w:tc>
        <w:tc>
          <w:tcPr>
            <w:tcW w:w="288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High confidence</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Official; eligible for advanced implementation review</w:t>
            </w:r>
          </w:p>
        </w:tc>
      </w:tr>
      <w:tr>
        <w:trPr>
          <w:cantSplit w:val="true"/>
        </w:trPr>
        <w:tc>
          <w:tcPr>
            <w:tcW w:w="3855"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70–84</w:t>
            </w:r>
          </w:p>
        </w:tc>
        <w:tc>
          <w:tcPr>
            <w:tcW w:w="288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Official</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Comparable headline publication</w:t>
            </w:r>
          </w:p>
        </w:tc>
      </w:tr>
      <w:tr>
        <w:trPr>
          <w:cantSplit w:val="true"/>
        </w:trPr>
        <w:tc>
          <w:tcPr>
            <w:tcW w:w="3855"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55–69</w:t>
            </w:r>
          </w:p>
        </w:tc>
        <w:tc>
          <w:tcPr>
            <w:tcW w:w="288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Provisional</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Research use with visible limitations</w:t>
            </w:r>
          </w:p>
        </w:tc>
      </w:tr>
      <w:tr>
        <w:trPr>
          <w:cantSplit w:val="true"/>
        </w:trPr>
        <w:tc>
          <w:tcPr>
            <w:tcW w:w="3855"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40–54</w:t>
            </w:r>
          </w:p>
        </w:tc>
        <w:tc>
          <w:tcPr>
            <w:tcW w:w="288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Experimental</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Diagnostic only; no headline ranking</w:t>
            </w:r>
          </w:p>
        </w:tc>
      </w:tr>
      <w:tr>
        <w:trPr>
          <w:cantSplit w:val="true"/>
        </w:trPr>
        <w:tc>
          <w:tcPr>
            <w:tcW w:w="3855"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Below 40</w:t>
            </w:r>
          </w:p>
        </w:tc>
        <w:tc>
          <w:tcPr>
            <w:tcW w:w="288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Insufficient</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No composite score published</w:t>
            </w:r>
            <w:bookmarkStart w:id="293" w:name="publication-bands"/>
            <w:bookmarkEnd w:id="293"/>
          </w:p>
        </w:tc>
      </w:tr>
    </w:tbl>
    <w:p>
      <w:pPr>
        <w:pStyle w:val="Heading2"/>
        <w:keepNext w:val="true"/>
        <w:keepLines/>
        <w:widowControl/>
        <w:rPr/>
      </w:pPr>
      <w:bookmarkStart w:id="294" w:name="__RefHeading___Toc8457_528838595"/>
      <w:bookmarkEnd w:id="294"/>
      <w:r>
        <w:rPr/>
        <w:t>17.7 Disputed results</w:t>
      </w:r>
    </w:p>
    <w:p>
      <w:pPr>
        <w:pStyle w:val="Normal"/>
        <w:rPr/>
      </w:pPr>
      <w:r>
        <w:rPr/>
        <w:t>A material dispute creates a visible flag and may suspend the affected metric or publication. The prior official result remains available with its historical status. Resolution requires evidence, not informal agreement.</w:t>
      </w:r>
    </w:p>
    <w:p>
      <w:pPr>
        <w:pStyle w:val="Heading2"/>
        <w:keepNext w:val="true"/>
        <w:keepLines/>
        <w:widowControl/>
        <w:rPr/>
      </w:pPr>
      <w:bookmarkStart w:id="295" w:name="__RefHeading___Toc8459_528838595"/>
      <w:bookmarkEnd w:id="295"/>
      <w:r>
        <w:rPr/>
        <w:t>17.8 Calculation frequency</w:t>
      </w:r>
    </w:p>
    <w:p>
      <w:pPr>
        <w:pStyle w:val="Normal"/>
        <w:rPr/>
      </w:pPr>
      <w:bookmarkStart w:id="296" w:name="Xc258fd46bbb11257fdd6830674dae900ccb3f21"/>
      <w:bookmarkStart w:id="297" w:name="calculation-frequency"/>
      <w:r>
        <w:rPr/>
        <w:t>Headline VTS may update daily, but the effective movement reflects metric-specific smoothing. Material security or availability events may trigger immediate PII and VRS updates. Every publication shows observation time and calculation time separately.</w:t>
      </w:r>
      <w:bookmarkEnd w:id="296"/>
      <w:bookmarkEnd w:id="297"/>
      <w:r>
        <w:br w:type="page"/>
      </w:r>
    </w:p>
    <w:p>
      <w:pPr>
        <w:pStyle w:val="PartTitle"/>
        <w:spacing w:before="0" w:after="360"/>
        <w:rPr/>
      </w:pPr>
      <w:bookmarkStart w:id="298" w:name="__RefHeading___Toc8461_528838595"/>
      <w:bookmarkStart w:id="299" w:name="X4b4aaab1866d78c0cd66fc001888ced1bd846fa"/>
      <w:bookmarkEnd w:id="298"/>
      <w:r>
        <w:rPr/>
        <w:t>Part IV — Recognition, Opportunity, Risk and Confidence</w:t>
      </w:r>
      <w:bookmarkEnd w:id="299"/>
    </w:p>
    <w:p>
      <w:pPr>
        <w:pStyle w:val="Heading1"/>
        <w:keepNext w:val="true"/>
        <w:keepLines/>
        <w:widowControl/>
        <w:pBdr>
          <w:bottom w:val="single" w:sz="6" w:space="5" w:color="8AB2BF"/>
        </w:pBdr>
        <w:jc w:val="start"/>
        <w:rPr/>
      </w:pPr>
      <w:bookmarkStart w:id="300" w:name="__RefHeading___Toc8463_528838595"/>
      <w:bookmarkStart w:id="301" w:name="value-recognition-index-vri"/>
      <w:bookmarkEnd w:id="300"/>
      <w:r>
        <w:rPr/>
        <w:t>18. Value Recognition Index (VRI)</w:t>
      </w:r>
    </w:p>
    <w:p>
      <w:pPr>
        <w:pStyle w:val="Heading2"/>
        <w:keepNext w:val="true"/>
        <w:keepLines/>
        <w:widowControl/>
        <w:rPr/>
      </w:pPr>
      <w:bookmarkStart w:id="302" w:name="__RefHeading___Toc8465_528838595"/>
      <w:bookmarkEnd w:id="302"/>
      <w:r>
        <w:rPr/>
        <w:t>18.1 Purpose</w:t>
      </w:r>
    </w:p>
    <w:p>
      <w:pPr>
        <w:pStyle w:val="Normal"/>
        <w:rPr/>
      </w:pPr>
      <w:r>
        <w:rPr/>
        <w:t>VRI measures how strongly markets recognise a network’s measured economic fundamentals. It is separate from VTS because market valuation can diverge from intrinsic performance for extended periods.</w:t>
      </w:r>
    </w:p>
    <w:p>
      <w:pPr>
        <w:pStyle w:val="BodyText"/>
        <w:widowControl/>
        <w:rPr/>
      </w:pPr>
      <w:bookmarkStart w:id="303" w:name="purpose-8"/>
      <w:r>
        <w:rPr/>
        <w:t>VRI is not a simple market-cap score. It combines valuation, liquidity-adjusted price discovery, token supply quality and the relationship between market value and economic output.</w:t>
      </w:r>
      <w:bookmarkEnd w:id="303"/>
    </w:p>
    <w:p>
      <w:pPr>
        <w:pStyle w:val="Heading2"/>
        <w:keepNext w:val="true"/>
        <w:keepLines/>
        <w:widowControl/>
        <w:rPr/>
      </w:pPr>
      <w:bookmarkStart w:id="304" w:name="__RefHeading___Toc8467_528838595"/>
      <w:bookmarkEnd w:id="304"/>
      <w:r>
        <w:rPr/>
        <w:t>18.2 VRI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Meaning</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Liquidity-adjusted network valuation</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30%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Market recognition supported by executable liquidity</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Fundamental valuation recognition</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Recognition relative to fees, revenue, settlement and value capture</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Token supply and dilution quality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Reliability of circulating supply and future dilution profile</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Market breadth and accessibility</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Distribution of credible markets and participants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Recognition persistence</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Durability rather than temporary speculative spikes</w:t>
            </w:r>
          </w:p>
        </w:tc>
      </w:tr>
    </w:tbl>
    <w:p>
      <w:pPr>
        <w:pStyle w:val="BodyText"/>
        <w:keepLines/>
        <w:spacing w:before="80" w:after="160"/>
        <w:jc w:val="center"/>
        <w:rPr/>
      </w:pPr>
      <w:r>
        <w:rPr/>
        <w:drawing>
          <wp:inline distT="0" distB="0" distL="0" distR="0">
            <wp:extent cx="5623560" cy="281305"/>
            <wp:effectExtent l="0" t="0" r="0" b="0"/>
            <wp:docPr id="30" name="Picture 30" descr="VRI_{\mathrm{core}}=0.30LV+0.25FV+0.20SQ+0.15MB+0.10RP"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VRI_{\mathrm{core}}=0.30LV+0.25FV+0.20SQ+0.15MB+0.10RP" title="Equation"/>
                    <pic:cNvPicPr>
                      <a:picLocks noChangeAspect="1" noChangeArrowheads="1"/>
                    </pic:cNvPicPr>
                  </pic:nvPicPr>
                  <pic:blipFill>
                    <a:blip r:embed="rId31"/>
                    <a:stretch>
                      <a:fillRect/>
                    </a:stretch>
                  </pic:blipFill>
                  <pic:spPr bwMode="auto">
                    <a:xfrm>
                      <a:off x="0" y="0"/>
                      <a:ext cx="5623560" cy="281305"/>
                    </a:xfrm>
                    <a:prstGeom prst="rect">
                      <a:avLst/>
                    </a:prstGeom>
                    <a:noFill/>
                  </pic:spPr>
                </pic:pic>
              </a:graphicData>
            </a:graphic>
          </wp:inline>
        </w:drawing>
      </w:r>
    </w:p>
    <w:p>
      <w:pPr>
        <w:pStyle w:val="Normal"/>
        <w:rPr/>
      </w:pPr>
      <w:r>
        <w:rPr/>
        <w:t>Each VRI sub-index is scored from 0 to 100. The core VRI is converted to the same standardised scale as VTS using a versioned recognition benchmark:</w:t>
      </w:r>
    </w:p>
    <w:p>
      <w:pPr>
        <w:pStyle w:val="BodyText"/>
        <w:keepLines/>
        <w:spacing w:before="80" w:after="160"/>
        <w:jc w:val="center"/>
        <w:rPr/>
      </w:pPr>
      <w:r>
        <w:rPr/>
        <w:drawing>
          <wp:inline distT="0" distB="0" distL="0" distR="0">
            <wp:extent cx="1614805" cy="511810"/>
            <wp:effectExtent l="0" t="0" r="0" b="0"/>
            <wp:docPr id="31" name="Picture 31" descr="VRI=\frac{VRI_{\mathrm{core}}/100}{ERU_{\mathrm{recognition}}}"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VRI=\frac{VRI_{\mathrm{core}}/100}{ERU_{\mathrm{recognition}}}" title="Equation"/>
                    <pic:cNvPicPr>
                      <a:picLocks noChangeAspect="1" noChangeArrowheads="1"/>
                    </pic:cNvPicPr>
                  </pic:nvPicPr>
                  <pic:blipFill>
                    <a:blip r:embed="rId32"/>
                    <a:stretch>
                      <a:fillRect/>
                    </a:stretch>
                  </pic:blipFill>
                  <pic:spPr bwMode="auto">
                    <a:xfrm>
                      <a:off x="0" y="0"/>
                      <a:ext cx="1614805" cy="511810"/>
                    </a:xfrm>
                    <a:prstGeom prst="rect">
                      <a:avLst/>
                    </a:prstGeom>
                    <a:noFill/>
                  </pic:spPr>
                </pic:pic>
              </a:graphicData>
            </a:graphic>
          </wp:inline>
        </w:drawing>
      </w:r>
    </w:p>
    <w:p>
      <w:pPr>
        <w:pStyle w:val="Normal"/>
        <w:rPr/>
      </w:pPr>
      <w:bookmarkStart w:id="305" w:name="vri-composition"/>
      <w:r>
        <w:rPr/>
        <w:t>The recognition benchmark is calibrated so that VRI and VTS are dimensionally comparable for Opportunity Gap analysis. It is not used to determine VTS.</w:t>
      </w:r>
      <w:bookmarkEnd w:id="305"/>
    </w:p>
    <w:p>
      <w:pPr>
        <w:pStyle w:val="Heading2"/>
        <w:keepNext w:val="true"/>
        <w:keepLines/>
        <w:widowControl/>
        <w:rPr/>
      </w:pPr>
      <w:bookmarkStart w:id="306" w:name="__RefHeading___Toc8469_528838595"/>
      <w:bookmarkEnd w:id="306"/>
      <w:r>
        <w:rPr/>
        <w:t>18.3 Liquidity-adjusted network valuation</w:t>
      </w:r>
    </w:p>
    <w:p>
      <w:pPr>
        <w:pStyle w:val="Normal"/>
        <w:rPr/>
      </w:pPr>
      <w:r>
        <w:rPr/>
        <w:t>Nominal market capitalisation is discounted when trading depth is weak. The component considers:</w:t>
      </w:r>
    </w:p>
    <w:p>
      <w:pPr>
        <w:pStyle w:val="Compact"/>
        <w:widowControl/>
        <w:numPr>
          <w:ilvl w:val="0"/>
          <w:numId w:val="1117"/>
        </w:numPr>
        <w:rPr/>
      </w:pPr>
      <w:r>
        <w:rPr/>
        <w:t>circulating market capitalisation under a published supply definition;</w:t>
      </w:r>
    </w:p>
    <w:p>
      <w:pPr>
        <w:pStyle w:val="Compact"/>
        <w:widowControl/>
        <w:numPr>
          <w:ilvl w:val="0"/>
          <w:numId w:val="1118"/>
        </w:numPr>
        <w:rPr/>
      </w:pPr>
      <w:r>
        <w:rPr/>
        <w:t>executable spot depth;</w:t>
      </w:r>
    </w:p>
    <w:p>
      <w:pPr>
        <w:pStyle w:val="Compact"/>
        <w:widowControl/>
        <w:numPr>
          <w:ilvl w:val="0"/>
          <w:numId w:val="1119"/>
        </w:numPr>
        <w:rPr/>
      </w:pPr>
      <w:r>
        <w:rPr/>
        <w:t>derivative liquidity and leverage concentration;</w:t>
      </w:r>
    </w:p>
    <w:p>
      <w:pPr>
        <w:pStyle w:val="Compact"/>
        <w:widowControl/>
        <w:numPr>
          <w:ilvl w:val="0"/>
          <w:numId w:val="1120"/>
        </w:numPr>
        <w:rPr/>
      </w:pPr>
      <w:r>
        <w:rPr/>
        <w:t>venue quality and market fragmentation;</w:t>
      </w:r>
    </w:p>
    <w:p>
      <w:pPr>
        <w:pStyle w:val="Compact"/>
        <w:widowControl/>
        <w:numPr>
          <w:ilvl w:val="0"/>
          <w:numId w:val="1121"/>
        </w:numPr>
        <w:rPr/>
      </w:pPr>
      <w:r>
        <w:rPr/>
        <w:t>free float and treasury or insider concentration;</w:t>
      </w:r>
    </w:p>
    <w:p>
      <w:pPr>
        <w:pStyle w:val="Compact"/>
        <w:widowControl/>
        <w:numPr>
          <w:ilvl w:val="0"/>
          <w:numId w:val="1122"/>
        </w:numPr>
        <w:rPr/>
      </w:pPr>
      <w:r>
        <w:rPr/>
        <w:t>price impact of representative trades.</w:t>
      </w:r>
    </w:p>
    <w:p>
      <w:pPr>
        <w:pStyle w:val="Normal"/>
        <w:rPr/>
      </w:pPr>
      <w:bookmarkStart w:id="307" w:name="liquidity-adjusted-network-valuation"/>
      <w:r>
        <w:rPr/>
        <w:t>A thin market cannot convert a high last-traded price into equivalent recognition confidence.</w:t>
      </w:r>
      <w:bookmarkEnd w:id="307"/>
    </w:p>
    <w:p>
      <w:pPr>
        <w:pStyle w:val="Heading2"/>
        <w:keepNext w:val="true"/>
        <w:keepLines/>
        <w:widowControl/>
        <w:rPr/>
      </w:pPr>
      <w:bookmarkStart w:id="308" w:name="__RefHeading___Toc8471_528838595"/>
      <w:bookmarkEnd w:id="308"/>
      <w:r>
        <w:rPr/>
        <w:t>18.4 Fundamental valuation recognition</w:t>
      </w:r>
    </w:p>
    <w:p>
      <w:pPr>
        <w:pStyle w:val="Normal"/>
        <w:rPr/>
      </w:pPr>
      <w:r>
        <w:rPr/>
        <w:t>This component examines whether markets assign value relative to measurable output. It may use robust, sector-aware ratios such as:</w:t>
      </w:r>
    </w:p>
    <w:p>
      <w:pPr>
        <w:pStyle w:val="Compact"/>
        <w:widowControl/>
        <w:numPr>
          <w:ilvl w:val="0"/>
          <w:numId w:val="1123"/>
        </w:numPr>
        <w:rPr/>
      </w:pPr>
      <w:r>
        <w:rPr/>
        <w:t>market value to annualised protocol revenue;</w:t>
      </w:r>
    </w:p>
    <w:p>
      <w:pPr>
        <w:pStyle w:val="Compact"/>
        <w:widowControl/>
        <w:numPr>
          <w:ilvl w:val="0"/>
          <w:numId w:val="1124"/>
        </w:numPr>
        <w:rPr/>
      </w:pPr>
      <w:r>
        <w:rPr/>
        <w:t>market value to adjusted fees;</w:t>
      </w:r>
    </w:p>
    <w:p>
      <w:pPr>
        <w:pStyle w:val="Compact"/>
        <w:widowControl/>
        <w:numPr>
          <w:ilvl w:val="0"/>
          <w:numId w:val="1125"/>
        </w:numPr>
        <w:rPr/>
      </w:pPr>
      <w:r>
        <w:rPr/>
        <w:t>market value to settled economic value;</w:t>
      </w:r>
    </w:p>
    <w:p>
      <w:pPr>
        <w:pStyle w:val="Compact"/>
        <w:widowControl/>
        <w:numPr>
          <w:ilvl w:val="0"/>
          <w:numId w:val="1126"/>
        </w:numPr>
        <w:rPr/>
      </w:pPr>
      <w:r>
        <w:rPr/>
        <w:t>market value to active economic entities;</w:t>
      </w:r>
    </w:p>
    <w:p>
      <w:pPr>
        <w:pStyle w:val="Compact"/>
        <w:widowControl/>
        <w:numPr>
          <w:ilvl w:val="0"/>
          <w:numId w:val="1127"/>
        </w:numPr>
        <w:rPr/>
      </w:pPr>
      <w:r>
        <w:rPr/>
        <w:t>market value to security-budget sustainability;</w:t>
      </w:r>
    </w:p>
    <w:p>
      <w:pPr>
        <w:pStyle w:val="Compact"/>
        <w:widowControl/>
        <w:numPr>
          <w:ilvl w:val="0"/>
          <w:numId w:val="1128"/>
        </w:numPr>
        <w:rPr/>
      </w:pPr>
      <w:r>
        <w:rPr/>
        <w:t>market value to treasury and net value capture.</w:t>
      </w:r>
    </w:p>
    <w:p>
      <w:pPr>
        <w:pStyle w:val="Normal"/>
        <w:rPr/>
      </w:pPr>
      <w:bookmarkStart w:id="309" w:name="fundamental-valuation-recognition"/>
      <w:r>
        <w:rPr/>
        <w:t>No single ratio is universal. The registry defines appropriate ratio families and avoids double counting. Ratio values are winsorised and log-transformed.</w:t>
      </w:r>
      <w:bookmarkEnd w:id="309"/>
    </w:p>
    <w:p>
      <w:pPr>
        <w:pStyle w:val="Heading2"/>
        <w:keepNext w:val="true"/>
        <w:keepLines/>
        <w:widowControl/>
        <w:rPr/>
      </w:pPr>
      <w:bookmarkStart w:id="310" w:name="__RefHeading___Toc8473_528838595"/>
      <w:bookmarkEnd w:id="310"/>
      <w:r>
        <w:rPr/>
        <w:t>18.5 Token supply and dilution quality</w:t>
      </w:r>
    </w:p>
    <w:p>
      <w:pPr>
        <w:pStyle w:val="Normal"/>
        <w:rPr/>
      </w:pPr>
      <w:r>
        <w:rPr/>
        <w:t>Market recognition is less reliable when supply definitions are opaque or future dilution is extreme. The component considers:</w:t>
      </w:r>
    </w:p>
    <w:p>
      <w:pPr>
        <w:pStyle w:val="Compact"/>
        <w:widowControl/>
        <w:numPr>
          <w:ilvl w:val="0"/>
          <w:numId w:val="1129"/>
        </w:numPr>
        <w:rPr/>
      </w:pPr>
      <w:r>
        <w:rPr/>
        <w:t>verified circulating supply;</w:t>
      </w:r>
    </w:p>
    <w:p>
      <w:pPr>
        <w:pStyle w:val="Compact"/>
        <w:widowControl/>
        <w:numPr>
          <w:ilvl w:val="0"/>
          <w:numId w:val="1130"/>
        </w:numPr>
        <w:rPr/>
      </w:pPr>
      <w:r>
        <w:rPr/>
        <w:t>insider, foundation and treasury concentration;</w:t>
      </w:r>
    </w:p>
    <w:p>
      <w:pPr>
        <w:pStyle w:val="Compact"/>
        <w:widowControl/>
        <w:numPr>
          <w:ilvl w:val="0"/>
          <w:numId w:val="1131"/>
        </w:numPr>
        <w:rPr/>
      </w:pPr>
      <w:r>
        <w:rPr/>
        <w:t>vesting schedule and unlock concentration;</w:t>
      </w:r>
    </w:p>
    <w:p>
      <w:pPr>
        <w:pStyle w:val="Compact"/>
        <w:widowControl/>
        <w:numPr>
          <w:ilvl w:val="0"/>
          <w:numId w:val="1132"/>
        </w:numPr>
        <w:rPr/>
      </w:pPr>
      <w:r>
        <w:rPr/>
        <w:t>net issuance and inflation;</w:t>
      </w:r>
    </w:p>
    <w:p>
      <w:pPr>
        <w:pStyle w:val="Compact"/>
        <w:widowControl/>
        <w:numPr>
          <w:ilvl w:val="0"/>
          <w:numId w:val="1133"/>
        </w:numPr>
        <w:rPr/>
      </w:pPr>
      <w:r>
        <w:rPr/>
        <w:t>staking lock-up and liquid-staking treatment;</w:t>
      </w:r>
    </w:p>
    <w:p>
      <w:pPr>
        <w:pStyle w:val="Compact"/>
        <w:widowControl/>
        <w:numPr>
          <w:ilvl w:val="0"/>
          <w:numId w:val="1134"/>
        </w:numPr>
        <w:rPr/>
      </w:pPr>
      <w:r>
        <w:rPr/>
        <w:t>bridge, wrapped and duplicated supply;</w:t>
      </w:r>
    </w:p>
    <w:p>
      <w:pPr>
        <w:pStyle w:val="Compact"/>
        <w:widowControl/>
        <w:numPr>
          <w:ilvl w:val="0"/>
          <w:numId w:val="1135"/>
        </w:numPr>
        <w:rPr/>
      </w:pPr>
      <w:r>
        <w:rPr/>
        <w:t>burn and buyback credibility;</w:t>
      </w:r>
    </w:p>
    <w:p>
      <w:pPr>
        <w:pStyle w:val="Compact"/>
        <w:widowControl/>
        <w:numPr>
          <w:ilvl w:val="0"/>
          <w:numId w:val="1136"/>
        </w:numPr>
        <w:rPr/>
      </w:pPr>
      <w:bookmarkStart w:id="311" w:name="token-supply-and-dilution-quality"/>
      <w:r>
        <w:rPr/>
        <w:t>governance discretion over supply.</w:t>
      </w:r>
      <w:bookmarkEnd w:id="311"/>
    </w:p>
    <w:p>
      <w:pPr>
        <w:pStyle w:val="Heading2"/>
        <w:keepNext w:val="true"/>
        <w:keepLines/>
        <w:widowControl/>
        <w:rPr/>
      </w:pPr>
      <w:bookmarkStart w:id="312" w:name="__RefHeading___Toc8475_528838595"/>
      <w:bookmarkEnd w:id="312"/>
      <w:r>
        <w:rPr/>
        <w:t>18.6 Market breadth and accessibility</w:t>
      </w:r>
    </w:p>
    <w:p>
      <w:pPr>
        <w:pStyle w:val="Normal"/>
        <w:rPr/>
      </w:pPr>
      <w:bookmarkStart w:id="313" w:name="market-breadth-and-accessibility"/>
      <w:r>
        <w:rPr/>
        <w:t>Recognition is stronger when price discovery is distributed across credible venues, jurisdictions and participant types. The component measures market concentration, custody accessibility, settlement quality and dependence on one exchange or market maker.</w:t>
      </w:r>
      <w:bookmarkEnd w:id="313"/>
    </w:p>
    <w:p>
      <w:pPr>
        <w:pStyle w:val="Heading2"/>
        <w:keepNext w:val="true"/>
        <w:keepLines/>
        <w:widowControl/>
        <w:rPr/>
      </w:pPr>
      <w:bookmarkStart w:id="314" w:name="__RefHeading___Toc8477_528838595"/>
      <w:bookmarkEnd w:id="314"/>
      <w:r>
        <w:rPr/>
        <w:t>18.7 Recognition persistence</w:t>
      </w:r>
    </w:p>
    <w:p>
      <w:pPr>
        <w:pStyle w:val="Normal"/>
        <w:rPr/>
      </w:pPr>
      <w:bookmarkStart w:id="315" w:name="recognition-persistence"/>
      <w:r>
        <w:rPr/>
        <w:t>Short-lived price spikes are smoothed. The component compares 30-, 90- and 365-day recognition with volatility, liquidity and fundamental change. A speculative increase unsupported by VTS does not automatically receive full persistent recognition.</w:t>
      </w:r>
      <w:bookmarkEnd w:id="315"/>
    </w:p>
    <w:p>
      <w:pPr>
        <w:pStyle w:val="Heading2"/>
        <w:keepNext w:val="true"/>
        <w:keepLines/>
        <w:widowControl/>
        <w:rPr/>
      </w:pPr>
      <w:bookmarkStart w:id="316" w:name="__RefHeading___Toc8479_528838595"/>
      <w:bookmarkStart w:id="317" w:name="interpretation-7"/>
      <w:bookmarkEnd w:id="316"/>
      <w:r>
        <w:rPr/>
        <w:t>18.8 Interpretation</w:t>
      </w:r>
    </w:p>
    <w:p>
      <w:pPr>
        <w:pStyle w:val="Normal"/>
        <w:rPr/>
      </w:pPr>
      <w:r>
        <w:rPr/>
        <w:t xml:space="preserve">VRI answers: </w:t>
      </w:r>
      <w:r>
        <w:rPr>
          <w:b/>
          <w:bCs/>
        </w:rPr>
        <w:t>How much recognition has the market assigned, and how credible is that recognition?</w:t>
      </w:r>
      <w:r>
        <w:rPr/>
        <w:t xml:space="preserve"> It does not answer whether the market is correct. That comparison is made by the Opportunity Gap.</w:t>
      </w:r>
      <w:bookmarkEnd w:id="301"/>
      <w:bookmarkEnd w:id="317"/>
    </w:p>
    <w:p>
      <w:pPr>
        <w:pStyle w:val="Heading1"/>
        <w:keepNext w:val="true"/>
        <w:keepLines/>
        <w:widowControl/>
        <w:pBdr>
          <w:bottom w:val="single" w:sz="6" w:space="5" w:color="8AB2BF"/>
        </w:pBdr>
        <w:jc w:val="start"/>
        <w:rPr/>
      </w:pPr>
      <w:bookmarkStart w:id="318" w:name="__RefHeading___Toc8481_528838595"/>
      <w:bookmarkEnd w:id="318"/>
      <w:r>
        <w:rPr/>
        <w:t>19. Opportunity Gap</w:t>
      </w:r>
    </w:p>
    <w:p>
      <w:pPr>
        <w:pStyle w:val="Heading2"/>
        <w:keepNext w:val="true"/>
        <w:keepLines/>
        <w:widowControl/>
        <w:rPr/>
      </w:pPr>
      <w:bookmarkStart w:id="319" w:name="__RefHeading___Toc8483_528838595"/>
      <w:bookmarkEnd w:id="319"/>
      <w:r>
        <w:rPr/>
        <w:t>19.1 Definition</w:t>
      </w:r>
    </w:p>
    <w:p>
      <w:pPr>
        <w:pStyle w:val="Normal"/>
        <w:rPr/>
      </w:pPr>
      <w:r>
        <w:rPr/>
        <w:t>The Opportunity Gap compares standardised intrinsic measurement with standardised market recognition:</w:t>
      </w:r>
    </w:p>
    <w:p>
      <w:pPr>
        <w:pStyle w:val="BodyText"/>
        <w:keepLines/>
        <w:spacing w:before="80" w:after="160"/>
        <w:jc w:val="center"/>
        <w:rPr/>
      </w:pPr>
      <w:r>
        <w:rPr/>
        <w:drawing>
          <wp:inline distT="0" distB="0" distL="0" distR="0">
            <wp:extent cx="3144520" cy="303530"/>
            <wp:effectExtent l="0" t="0" r="0" b="0"/>
            <wp:docPr id="32" name="Picture 32" descr="\mathrm{Opportunity\ Gap}=VTS-VRI"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mathrm{Opportunity\ Gap}=VTS-VRI" title="Equation"/>
                    <pic:cNvPicPr>
                      <a:picLocks noChangeAspect="1" noChangeArrowheads="1"/>
                    </pic:cNvPicPr>
                  </pic:nvPicPr>
                  <pic:blipFill>
                    <a:blip r:embed="rId33"/>
                    <a:stretch>
                      <a:fillRect/>
                    </a:stretch>
                  </pic:blipFill>
                  <pic:spPr bwMode="auto">
                    <a:xfrm>
                      <a:off x="0" y="0"/>
                      <a:ext cx="3144520" cy="303530"/>
                    </a:xfrm>
                    <a:prstGeom prst="rect">
                      <a:avLst/>
                    </a:prstGeom>
                    <a:noFill/>
                  </pic:spPr>
                </pic:pic>
              </a:graphicData>
            </a:graphic>
          </wp:inline>
        </w:drawing>
      </w:r>
    </w:p>
    <w:p>
      <w:pPr>
        <w:pStyle w:val="Heading2"/>
        <w:keepNext w:val="true"/>
        <w:keepLines/>
        <w:widowControl/>
        <w:rPr/>
      </w:pPr>
      <w:bookmarkStart w:id="320" w:name="__RefHeading___Toc8485_528838595"/>
      <w:bookmarkEnd w:id="320"/>
      <w:r>
        <w:rPr/>
        <w:t>19.2 Interpretation</w:t>
      </w:r>
    </w:p>
    <w:p>
      <w:pPr>
        <w:pStyle w:val="Compact"/>
        <w:widowControl/>
        <w:numPr>
          <w:ilvl w:val="0"/>
          <w:numId w:val="1137"/>
        </w:numPr>
        <w:rPr/>
      </w:pPr>
      <w:r>
        <w:rPr>
          <w:b/>
          <w:bCs/>
        </w:rPr>
        <w:t>Positive gap</w:t>
      </w:r>
      <w:r>
        <w:rPr/>
        <w:t xml:space="preserve"> — measured fundamentals exceed market recognition.</w:t>
      </w:r>
    </w:p>
    <w:p>
      <w:pPr>
        <w:pStyle w:val="Compact"/>
        <w:widowControl/>
        <w:numPr>
          <w:ilvl w:val="0"/>
          <w:numId w:val="1138"/>
        </w:numPr>
        <w:rPr/>
      </w:pPr>
      <w:r>
        <w:rPr>
          <w:b/>
          <w:bCs/>
        </w:rPr>
        <w:t>Near-zero gap</w:t>
      </w:r>
      <w:r>
        <w:rPr/>
        <w:t xml:space="preserve"> — recognition is broadly aligned with the framework’s intrinsic measurement.</w:t>
      </w:r>
    </w:p>
    <w:p>
      <w:pPr>
        <w:pStyle w:val="Compact"/>
        <w:widowControl/>
        <w:numPr>
          <w:ilvl w:val="0"/>
          <w:numId w:val="1139"/>
        </w:numPr>
        <w:rPr/>
      </w:pPr>
      <w:r>
        <w:rPr>
          <w:b/>
          <w:bCs/>
        </w:rPr>
        <w:t>Negative gap</w:t>
      </w:r>
      <w:r>
        <w:rPr/>
        <w:t xml:space="preserve"> — market recognition exceeds measured fundamentals.</w:t>
      </w:r>
    </w:p>
    <w:p>
      <w:pPr>
        <w:pStyle w:val="Normal"/>
        <w:rPr/>
      </w:pPr>
      <w:bookmarkStart w:id="321" w:name="interpretation-8"/>
      <w:r>
        <w:rPr/>
        <w:t>The Opportunity Gap is a research signal, not a guaranteed trading opportunity. A positive gap may persist because of legal uncertainty, token-design weakness, inaccessible markets, governance risk or incomplete value capture. A negative gap may reflect rational expectations of future growth not yet visible in historical data.</w:t>
      </w:r>
      <w:bookmarkEnd w:id="321"/>
    </w:p>
    <w:p>
      <w:pPr>
        <w:pStyle w:val="Heading2"/>
        <w:keepNext w:val="true"/>
        <w:keepLines/>
        <w:widowControl/>
        <w:rPr/>
      </w:pPr>
      <w:bookmarkStart w:id="322" w:name="__RefHeading___Toc8487_528838595"/>
      <w:bookmarkEnd w:id="322"/>
      <w:r>
        <w:rPr/>
        <w:t>19.3 Relative gap</w:t>
      </w:r>
    </w:p>
    <w:p>
      <w:pPr>
        <w:pStyle w:val="Normal"/>
        <w:rPr/>
      </w:pPr>
      <w:r>
        <w:rPr/>
        <w:t>For comparisons where scale matters, the framework may publish:</w:t>
      </w:r>
    </w:p>
    <w:p>
      <w:pPr>
        <w:pStyle w:val="BodyText"/>
        <w:keepLines/>
        <w:spacing w:before="80" w:after="160"/>
        <w:jc w:val="center"/>
        <w:rPr/>
      </w:pPr>
      <w:r>
        <w:rPr/>
        <w:drawing>
          <wp:inline distT="0" distB="0" distL="0" distR="0">
            <wp:extent cx="2522855" cy="461010"/>
            <wp:effectExtent l="0" t="0" r="0" b="0"/>
            <wp:docPr id="33" name="Picture 33" descr="\mathrm{Relative\ Gap}=\frac{VTS-VRI}{\max(VTS,\varepsilon)}"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mathrm{Relative\ Gap}=\frac{VTS-VRI}{\max(VTS,\varepsilon)}" title="Equation"/>
                    <pic:cNvPicPr>
                      <a:picLocks noChangeAspect="1" noChangeArrowheads="1"/>
                    </pic:cNvPicPr>
                  </pic:nvPicPr>
                  <pic:blipFill>
                    <a:blip r:embed="rId34"/>
                    <a:stretch>
                      <a:fillRect/>
                    </a:stretch>
                  </pic:blipFill>
                  <pic:spPr bwMode="auto">
                    <a:xfrm>
                      <a:off x="0" y="0"/>
                      <a:ext cx="2522855" cy="461010"/>
                    </a:xfrm>
                    <a:prstGeom prst="rect">
                      <a:avLst/>
                    </a:prstGeom>
                    <a:noFill/>
                  </pic:spPr>
                </pic:pic>
              </a:graphicData>
            </a:graphic>
          </wp:inline>
        </w:drawing>
      </w:r>
    </w:p>
    <w:p>
      <w:pPr>
        <w:pStyle w:val="Normal"/>
        <w:rPr/>
      </w:pPr>
      <w:r>
        <w:rPr/>
        <w:t>where ε prevents division by zero. The absolute gap remains the constitutional headline measure.</w:t>
      </w:r>
    </w:p>
    <w:p>
      <w:pPr>
        <w:pStyle w:val="Heading2"/>
        <w:keepNext w:val="true"/>
        <w:keepLines/>
        <w:widowControl/>
        <w:rPr/>
      </w:pPr>
      <w:bookmarkStart w:id="323" w:name="__RefHeading___Toc8489_528838595"/>
      <w:bookmarkEnd w:id="323"/>
      <w:r>
        <w:rPr/>
        <w:t>19.4 Gap attribution</w:t>
      </w:r>
    </w:p>
    <w:p>
      <w:pPr>
        <w:pStyle w:val="Normal"/>
        <w:rPr/>
      </w:pPr>
      <w:r>
        <w:rPr/>
        <w:t>Every published Opportunity Gap includes attribution showing which factors drive the difference. Typical drivers include:</w:t>
      </w:r>
    </w:p>
    <w:p>
      <w:pPr>
        <w:pStyle w:val="Compact"/>
        <w:widowControl/>
        <w:numPr>
          <w:ilvl w:val="0"/>
          <w:numId w:val="1140"/>
        </w:numPr>
        <w:rPr/>
      </w:pPr>
      <w:r>
        <w:rPr/>
        <w:t>high PoV with weak market accessibility;</w:t>
      </w:r>
    </w:p>
    <w:p>
      <w:pPr>
        <w:pStyle w:val="Compact"/>
        <w:widowControl/>
        <w:numPr>
          <w:ilvl w:val="0"/>
          <w:numId w:val="1141"/>
        </w:numPr>
        <w:rPr/>
      </w:pPr>
      <w:r>
        <w:rPr/>
        <w:t>strong RWAI not captured by token economics;</w:t>
      </w:r>
    </w:p>
    <w:p>
      <w:pPr>
        <w:pStyle w:val="Compact"/>
        <w:widowControl/>
        <w:numPr>
          <w:ilvl w:val="0"/>
          <w:numId w:val="1142"/>
        </w:numPr>
        <w:rPr/>
      </w:pPr>
      <w:r>
        <w:rPr/>
        <w:t>high recognition but weak ERI;</w:t>
      </w:r>
    </w:p>
    <w:p>
      <w:pPr>
        <w:pStyle w:val="Compact"/>
        <w:widowControl/>
        <w:numPr>
          <w:ilvl w:val="0"/>
          <w:numId w:val="1143"/>
        </w:numPr>
        <w:rPr/>
      </w:pPr>
      <w:r>
        <w:rPr/>
        <w:t>strong market narrative with low value capture;</w:t>
      </w:r>
    </w:p>
    <w:p>
      <w:pPr>
        <w:pStyle w:val="Compact"/>
        <w:widowControl/>
        <w:numPr>
          <w:ilvl w:val="0"/>
          <w:numId w:val="1144"/>
        </w:numPr>
        <w:rPr/>
      </w:pPr>
      <w:r>
        <w:rPr/>
        <w:t>large future dilution;</w:t>
      </w:r>
    </w:p>
    <w:p>
      <w:pPr>
        <w:pStyle w:val="Compact"/>
        <w:widowControl/>
        <w:numPr>
          <w:ilvl w:val="0"/>
          <w:numId w:val="1145"/>
        </w:numPr>
        <w:rPr/>
      </w:pPr>
      <w:bookmarkStart w:id="324" w:name="gap-attribution"/>
      <w:r>
        <w:rPr/>
        <w:t>low confidence in one or more intrinsic indices.</w:t>
      </w:r>
      <w:bookmarkEnd w:id="324"/>
    </w:p>
    <w:p>
      <w:pPr>
        <w:pStyle w:val="Heading2"/>
        <w:keepNext w:val="true"/>
        <w:keepLines/>
        <w:widowControl/>
        <w:rPr/>
      </w:pPr>
      <w:bookmarkStart w:id="325" w:name="__RefHeading___Toc8491_528838595"/>
      <w:bookmarkEnd w:id="325"/>
      <w:r>
        <w:rPr/>
        <w:t>19.5 Confidence-adjusted use</w:t>
      </w:r>
    </w:p>
    <w:p>
      <w:pPr>
        <w:pStyle w:val="Normal"/>
        <w:rPr/>
      </w:pPr>
      <w:r>
        <w:rPr/>
        <w:t>Opportunity Gap should be interpreted jointly with VRS and VCS. A large positive gap with low VCS is an unresolved research question, not a high-conviction conclusion. A positive gap with high VRS may represent a genuine risk premium.</w:t>
      </w:r>
    </w:p>
    <w:p>
      <w:pPr>
        <w:pStyle w:val="BodyText"/>
        <w:widowControl/>
        <w:rPr/>
      </w:pPr>
      <w:r>
        <w:rPr/>
        <w:t>A diagnostic confidence-adjusted gap may be shown as:</w:t>
      </w:r>
    </w:p>
    <w:p>
      <w:pPr>
        <w:pStyle w:val="BodyText"/>
        <w:keepLines/>
        <w:spacing w:before="80" w:after="160"/>
        <w:jc w:val="center"/>
        <w:rPr/>
      </w:pPr>
      <w:r>
        <w:rPr/>
        <w:drawing>
          <wp:inline distT="0" distB="0" distL="0" distR="0">
            <wp:extent cx="3768725" cy="429895"/>
            <wp:effectExtent l="0" t="0" r="0" b="0"/>
            <wp:docPr id="34" name="Picture 34" descr="\mathrm{Gap}_{\mathrm{adj}}=(VTS-VRI)\left(\frac{VCS}{100}\right)\left(1-\frac{VRS}{100}\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mathrm{Gap}_{\mathrm{adj}}=(VTS-VRI)\left(\frac{VCS}{100}\right)\left(1-\frac{VRS}{100}\right)" title="Equation"/>
                    <pic:cNvPicPr>
                      <a:picLocks noChangeAspect="1" noChangeArrowheads="1"/>
                    </pic:cNvPicPr>
                  </pic:nvPicPr>
                  <pic:blipFill>
                    <a:blip r:embed="rId35"/>
                    <a:stretch>
                      <a:fillRect/>
                    </a:stretch>
                  </pic:blipFill>
                  <pic:spPr bwMode="auto">
                    <a:xfrm>
                      <a:off x="0" y="0"/>
                      <a:ext cx="3768725" cy="429895"/>
                    </a:xfrm>
                    <a:prstGeom prst="rect">
                      <a:avLst/>
                    </a:prstGeom>
                    <a:noFill/>
                  </pic:spPr>
                </pic:pic>
              </a:graphicData>
            </a:graphic>
          </wp:inline>
        </w:drawing>
      </w:r>
    </w:p>
    <w:p>
      <w:pPr>
        <w:pStyle w:val="Normal"/>
        <w:rPr/>
      </w:pPr>
      <w:bookmarkStart w:id="326" w:name="opportunity-gap"/>
      <w:bookmarkStart w:id="327" w:name="confidence-adjusted-use"/>
      <w:r>
        <w:rPr/>
        <w:t>This diagnostic is not part of the constitutional headline outputs and must be labelled accordingly.</w:t>
      </w:r>
      <w:bookmarkEnd w:id="326"/>
      <w:bookmarkEnd w:id="327"/>
    </w:p>
    <w:p>
      <w:pPr>
        <w:pStyle w:val="Heading1"/>
        <w:keepNext w:val="true"/>
        <w:keepLines/>
        <w:widowControl/>
        <w:pBdr>
          <w:bottom w:val="single" w:sz="6" w:space="5" w:color="8AB2BF"/>
        </w:pBdr>
        <w:jc w:val="start"/>
        <w:rPr/>
      </w:pPr>
      <w:bookmarkStart w:id="328" w:name="__RefHeading___Toc8493_528838595"/>
      <w:bookmarkEnd w:id="328"/>
      <w:r>
        <w:rPr/>
        <w:t>20. VOX Risk Score (VRS)</w:t>
      </w:r>
    </w:p>
    <w:p>
      <w:pPr>
        <w:pStyle w:val="Heading2"/>
        <w:keepNext w:val="true"/>
        <w:keepLines/>
        <w:widowControl/>
        <w:rPr/>
      </w:pPr>
      <w:bookmarkStart w:id="329" w:name="__RefHeading___Toc8495_528838595"/>
      <w:bookmarkEnd w:id="329"/>
      <w:r>
        <w:rPr/>
        <w:t>20.1 Purpose</w:t>
      </w:r>
    </w:p>
    <w:p>
      <w:pPr>
        <w:pStyle w:val="Normal"/>
        <w:rPr/>
      </w:pPr>
      <w:bookmarkStart w:id="330" w:name="purpose-9"/>
      <w:r>
        <w:rPr/>
        <w:t>VRS summarises structural risks that may not be fully visible in VTS. Higher VRS means greater aggregate risk. It does not predict the probability or magnitude of every future loss.</w:t>
      </w:r>
      <w:bookmarkEnd w:id="330"/>
    </w:p>
    <w:p>
      <w:pPr>
        <w:pStyle w:val="Heading2"/>
        <w:keepNext w:val="true"/>
        <w:keepLines/>
        <w:widowControl/>
        <w:rPr/>
      </w:pPr>
      <w:bookmarkStart w:id="331" w:name="__RefHeading___Toc8497_528838595"/>
      <w:bookmarkEnd w:id="331"/>
      <w:r>
        <w:rPr/>
        <w:t>20.2 VRS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Risk domain</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Examples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Protocol and cybersecurity risk</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Consensus flaws, smart-contract exposure, key compromise</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Governance and control risk</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Capture, emergency powers, opaque upgrades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Economic and token-design risk</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Dilution, weak value capture, incentive dependence</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Liquidity and market-structure risk</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Thin depth, leverage, concentration, de-peg exposure</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Dependency and interoperability risk</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Bridges, oracles, sequencers, data availability, external issuers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Legal, regulatory and operational risk</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Jurisdiction, custody, compliance, operational concentration</w:t>
            </w:r>
          </w:p>
        </w:tc>
      </w:tr>
    </w:tbl>
    <w:p>
      <w:pPr>
        <w:pStyle w:val="BodyText"/>
        <w:keepLines/>
        <w:spacing w:before="80" w:after="160"/>
        <w:jc w:val="center"/>
        <w:rPr/>
      </w:pPr>
      <w:r>
        <w:rPr/>
        <w:drawing>
          <wp:inline distT="0" distB="0" distL="0" distR="0">
            <wp:extent cx="5623560" cy="240665"/>
            <wp:effectExtent l="0" t="0" r="0" b="0"/>
            <wp:docPr id="35" name="Picture 35" descr="VRS=0.20PR+0.15GR+0.20ER+0.15LR+0.15DR+0.15OR"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VRS=0.20PR+0.15GR+0.20ER+0.15LR+0.15DR+0.15OR" title="Equation"/>
                    <pic:cNvPicPr>
                      <a:picLocks noChangeAspect="1" noChangeArrowheads="1"/>
                    </pic:cNvPicPr>
                  </pic:nvPicPr>
                  <pic:blipFill>
                    <a:blip r:embed="rId36"/>
                    <a:stretch>
                      <a:fillRect/>
                    </a:stretch>
                  </pic:blipFill>
                  <pic:spPr bwMode="auto">
                    <a:xfrm>
                      <a:off x="0" y="0"/>
                      <a:ext cx="5623560" cy="240665"/>
                    </a:xfrm>
                    <a:prstGeom prst="rect">
                      <a:avLst/>
                    </a:prstGeom>
                    <a:noFill/>
                  </pic:spPr>
                </pic:pic>
              </a:graphicData>
            </a:graphic>
          </wp:inline>
        </w:drawing>
      </w:r>
    </w:p>
    <w:p>
      <w:pPr>
        <w:pStyle w:val="Normal"/>
        <w:rPr/>
      </w:pPr>
      <w:bookmarkStart w:id="332" w:name="vrs-composition"/>
      <w:r>
        <w:rPr/>
        <w:t>Each domain is scored from 0 to 100, where 100 represents the highest risk.</w:t>
      </w:r>
      <w:bookmarkEnd w:id="332"/>
    </w:p>
    <w:p>
      <w:pPr>
        <w:pStyle w:val="Heading2"/>
        <w:keepNext w:val="true"/>
        <w:keepLines/>
        <w:widowControl/>
        <w:rPr/>
      </w:pPr>
      <w:bookmarkStart w:id="333" w:name="__RefHeading___Toc8499_528838595"/>
      <w:bookmarkEnd w:id="333"/>
      <w:r>
        <w:rPr/>
        <w:t>20.3 Protocol and cybersecurity risk</w:t>
      </w:r>
    </w:p>
    <w:p>
      <w:pPr>
        <w:pStyle w:val="Normal"/>
        <w:rPr/>
      </w:pPr>
      <w:bookmarkStart w:id="334" w:name="protocol-and-cybersecurity-risk"/>
      <w:r>
        <w:rPr/>
        <w:t>This domain considers attack surface, code complexity, critical contracts, consensus assumptions, unresolved vulnerabilities, incident history and remediation. It complements PII by converting integrity weaknesses into an explicit risk scale.</w:t>
      </w:r>
      <w:bookmarkEnd w:id="334"/>
    </w:p>
    <w:p>
      <w:pPr>
        <w:pStyle w:val="Heading2"/>
        <w:keepNext w:val="true"/>
        <w:keepLines/>
        <w:widowControl/>
        <w:rPr/>
      </w:pPr>
      <w:bookmarkStart w:id="335" w:name="__RefHeading___Toc8501_528838595"/>
      <w:bookmarkEnd w:id="335"/>
      <w:r>
        <w:rPr/>
        <w:t>20.4 Governance and control risk</w:t>
      </w:r>
    </w:p>
    <w:p>
      <w:pPr>
        <w:pStyle w:val="Normal"/>
        <w:rPr/>
      </w:pPr>
      <w:bookmarkStart w:id="336" w:name="governance-and-control-risk"/>
      <w:r>
        <w:rPr/>
        <w:t>Governance risk includes voting concentration, key-person dependence, privileged contracts, emergency controls, foundation influence, upgrade opacity and the ability to alter economic rules without adequate delay or consent.</w:t>
      </w:r>
      <w:bookmarkEnd w:id="336"/>
    </w:p>
    <w:p>
      <w:pPr>
        <w:pStyle w:val="Heading2"/>
        <w:keepNext w:val="true"/>
        <w:keepLines/>
        <w:widowControl/>
        <w:rPr/>
      </w:pPr>
      <w:bookmarkStart w:id="337" w:name="__RefHeading___Toc8503_528838595"/>
      <w:bookmarkEnd w:id="337"/>
      <w:r>
        <w:rPr/>
        <w:t>20.5 Economic and token-design risk</w:t>
      </w:r>
    </w:p>
    <w:p>
      <w:pPr>
        <w:pStyle w:val="Normal"/>
        <w:rPr/>
      </w:pPr>
      <w:bookmarkStart w:id="338" w:name="economic-and-token-design-risk"/>
      <w:r>
        <w:rPr/>
        <w:t>This domain considers future unlocks, inflation, reflexive collateral, circular incentives, unsustainable yields, treasury concentration, weak value capture and dependence on continued token-price appreciation.</w:t>
      </w:r>
      <w:bookmarkEnd w:id="338"/>
    </w:p>
    <w:p>
      <w:pPr>
        <w:pStyle w:val="Heading2"/>
        <w:keepNext w:val="true"/>
        <w:keepLines/>
        <w:widowControl/>
        <w:rPr/>
      </w:pPr>
      <w:bookmarkStart w:id="339" w:name="__RefHeading___Toc8505_528838595"/>
      <w:bookmarkEnd w:id="339"/>
      <w:r>
        <w:rPr/>
        <w:t>20.6 Liquidity and market-structure risk</w:t>
      </w:r>
    </w:p>
    <w:p>
      <w:pPr>
        <w:pStyle w:val="Normal"/>
        <w:rPr/>
      </w:pPr>
      <w:bookmarkStart w:id="340" w:name="liquidity-and-market-structure-risk"/>
      <w:r>
        <w:rPr/>
        <w:t>This domain incorporates thin depth, leverage, liquidation cascades, fragmented price discovery, stablecoin concentration and market-maker dependence. A network can have a reasonable DLI under normal conditions while retaining significant tail risk.</w:t>
      </w:r>
      <w:bookmarkEnd w:id="340"/>
    </w:p>
    <w:p>
      <w:pPr>
        <w:pStyle w:val="Heading2"/>
        <w:keepNext w:val="true"/>
        <w:keepLines/>
        <w:widowControl/>
        <w:rPr/>
      </w:pPr>
      <w:bookmarkStart w:id="341" w:name="__RefHeading___Toc8507_528838595"/>
      <w:bookmarkEnd w:id="341"/>
      <w:r>
        <w:rPr/>
        <w:t>20.7 Dependency and interoperability risk</w:t>
      </w:r>
    </w:p>
    <w:p>
      <w:pPr>
        <w:pStyle w:val="Normal"/>
        <w:rPr/>
      </w:pPr>
      <w:bookmarkStart w:id="342" w:name="dependency-and-interoperability-risk"/>
      <w:r>
        <w:rPr/>
        <w:t>Dependencies include bridges, messaging layers, oracles, data-availability layers, sequencers, custodians, stablecoin issuers and external governance. The score considers both the number of dependencies and their correlated failure risk.</w:t>
      </w:r>
      <w:bookmarkEnd w:id="342"/>
    </w:p>
    <w:p>
      <w:pPr>
        <w:pStyle w:val="Heading2"/>
        <w:keepNext w:val="true"/>
        <w:keepLines/>
        <w:widowControl/>
        <w:rPr/>
      </w:pPr>
      <w:bookmarkStart w:id="343" w:name="__RefHeading___Toc8509_528838595"/>
      <w:bookmarkEnd w:id="343"/>
      <w:r>
        <w:rPr/>
        <w:t>20.8 Legal, regulatory and operational risk</w:t>
      </w:r>
    </w:p>
    <w:p>
      <w:pPr>
        <w:pStyle w:val="Normal"/>
        <w:rPr/>
      </w:pPr>
      <w:bookmarkStart w:id="344" w:name="legal-regulatory-and-operational-risk"/>
      <w:r>
        <w:rPr/>
        <w:t>This domain includes enforceability, issuer or foundation exposure, sanctions or compliance dependencies, custody structure, geographic concentration, business continuity and uncertainty around asset classification. Legal analysis is jurisdiction-specific and must be updated as law changes.</w:t>
      </w:r>
      <w:bookmarkEnd w:id="344"/>
    </w:p>
    <w:p>
      <w:pPr>
        <w:pStyle w:val="Heading2"/>
        <w:keepNext w:val="true"/>
        <w:keepLines/>
        <w:widowControl/>
        <w:rPr/>
      </w:pPr>
      <w:bookmarkStart w:id="345" w:name="__RefHeading___Toc8511_528838595"/>
      <w:bookmarkEnd w:id="345"/>
      <w:r>
        <w:rPr/>
        <w:t>20.9 Risk bands</w:t>
      </w:r>
    </w:p>
    <w:tbl>
      <w:tblPr>
        <w:tblStyle w:val="Table"/>
        <w:tblW w:w="7920" w:type="dxa"/>
        <w:jc w:val="center"/>
        <w:tblInd w:w="0" w:type="dxa"/>
        <w:tblLayout w:type="fixed"/>
        <w:tblCellMar>
          <w:top w:w="80" w:type="dxa"/>
          <w:start w:w="100" w:type="dxa"/>
          <w:bottom w:w="80" w:type="dxa"/>
          <w:end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VRS</w:t>
            </w:r>
          </w:p>
        </w:tc>
        <w:tc>
          <w:tcPr>
            <w:tcW w:w="395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Risk band</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0–19</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Low measured structural risk</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20–39</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Moderate-low</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40–59</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Moderate</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60–79</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High</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80–100</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Very high</w:t>
            </w:r>
          </w:p>
        </w:tc>
      </w:tr>
    </w:tbl>
    <w:p>
      <w:pPr>
        <w:pStyle w:val="BodyText"/>
        <w:widowControl/>
        <w:rPr/>
      </w:pPr>
      <w:bookmarkStart w:id="346" w:name="vox-risk-score-vrs"/>
      <w:bookmarkStart w:id="347" w:name="risk-bands"/>
      <w:r>
        <w:rPr/>
        <w:t>Risk bands are comparative and model-based. “Low” does not mean risk-free.</w:t>
      </w:r>
      <w:bookmarkEnd w:id="346"/>
      <w:bookmarkEnd w:id="347"/>
    </w:p>
    <w:p>
      <w:pPr>
        <w:pStyle w:val="Heading1"/>
        <w:keepNext w:val="true"/>
        <w:keepLines/>
        <w:widowControl/>
        <w:pBdr>
          <w:bottom w:val="single" w:sz="6" w:space="5" w:color="8AB2BF"/>
        </w:pBdr>
        <w:jc w:val="start"/>
        <w:rPr/>
      </w:pPr>
      <w:bookmarkStart w:id="348" w:name="__RefHeading___Toc8513_528838595"/>
      <w:bookmarkEnd w:id="348"/>
      <w:r>
        <w:rPr/>
        <w:t>21. VOX Confidence Score (VCS)</w:t>
      </w:r>
    </w:p>
    <w:p>
      <w:pPr>
        <w:pStyle w:val="Heading2"/>
        <w:keepNext w:val="true"/>
        <w:keepLines/>
        <w:widowControl/>
        <w:rPr/>
      </w:pPr>
      <w:bookmarkStart w:id="349" w:name="__RefHeading___Toc8515_528838595"/>
      <w:bookmarkEnd w:id="349"/>
      <w:r>
        <w:rPr/>
        <w:t>21.1 Purpose</w:t>
      </w:r>
    </w:p>
    <w:p>
      <w:pPr>
        <w:pStyle w:val="Normal"/>
        <w:rPr/>
      </w:pPr>
      <w:bookmarkStart w:id="350" w:name="purpose-10"/>
      <w:r>
        <w:rPr/>
        <w:t>VCS measures confidence in the evidence, adapter and calculation. It prevents precision from being confused with certainty.</w:t>
      </w:r>
      <w:bookmarkEnd w:id="350"/>
    </w:p>
    <w:p>
      <w:pPr>
        <w:pStyle w:val="Heading2"/>
        <w:keepNext w:val="true"/>
        <w:keepLines/>
        <w:widowControl/>
        <w:rPr/>
      </w:pPr>
      <w:bookmarkStart w:id="351" w:name="__RefHeading___Toc8517_528838595"/>
      <w:bookmarkEnd w:id="351"/>
      <w:r>
        <w:rPr/>
        <w:t>21.2 VCS composition</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2891"/>
        <w:gridCol w:w="3853"/>
        <w:gridCol w:w="2894"/>
      </w:tblGrid>
      <w:tr>
        <w:trPr>
          <w:tblHeader w:val="true"/>
          <w:cantSplit w:val="true"/>
        </w:trPr>
        <w:tc>
          <w:tcPr>
            <w:tcW w:w="2891"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Confidence domain</w:t>
            </w:r>
          </w:p>
        </w:tc>
        <w:tc>
          <w:tcPr>
            <w:tcW w:w="385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2894"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Evidence</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Data coverage</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Share of approved metric weight observed</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Source quality and independence</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Canonical data, independent corroboration, public access</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Adapter validation</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Tests, reproducibility, certification and maintenance</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Freshness and historical depth</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Timeliness and sufficient history</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Cross-source consistency</w:t>
            </w:r>
          </w:p>
        </w:tc>
        <w:tc>
          <w:tcPr>
            <w:tcW w:w="385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10%</w:t>
            </w:r>
          </w:p>
        </w:tc>
        <w:tc>
          <w:tcPr>
            <w:tcW w:w="2894"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Reconciliation and variance</w:t>
            </w:r>
          </w:p>
        </w:tc>
      </w:tr>
      <w:tr>
        <w:trPr>
          <w:cantSplit w:val="true"/>
        </w:trPr>
        <w:tc>
          <w:tcPr>
            <w:tcW w:w="2891"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Model stability and dispute status</w:t>
            </w:r>
          </w:p>
        </w:tc>
        <w:tc>
          <w:tcPr>
            <w:tcW w:w="385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10%</w:t>
            </w:r>
          </w:p>
        </w:tc>
        <w:tc>
          <w:tcPr>
            <w:tcW w:w="2894"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Sensitivity, unresolved flags and revision risk</w:t>
            </w:r>
          </w:p>
        </w:tc>
      </w:tr>
    </w:tbl>
    <w:p>
      <w:pPr>
        <w:pStyle w:val="BodyText"/>
        <w:keepLines/>
        <w:spacing w:before="80" w:after="160"/>
        <w:jc w:val="center"/>
        <w:rPr/>
      </w:pPr>
      <w:r>
        <w:rPr/>
        <w:drawing>
          <wp:inline distT="0" distB="0" distL="0" distR="0">
            <wp:extent cx="5623560" cy="245745"/>
            <wp:effectExtent l="0" t="0" r="0" b="0"/>
            <wp:docPr id="36" name="Picture 36" descr="VCS=0.25DC+0.20SQ+0.20AV+0.15FH+0.10CC+0.10MS"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VCS=0.25DC+0.20SQ+0.20AV+0.15FH+0.10CC+0.10MS" title="Equation"/>
                    <pic:cNvPicPr>
                      <a:picLocks noChangeAspect="1" noChangeArrowheads="1"/>
                    </pic:cNvPicPr>
                  </pic:nvPicPr>
                  <pic:blipFill>
                    <a:blip r:embed="rId37"/>
                    <a:stretch>
                      <a:fillRect/>
                    </a:stretch>
                  </pic:blipFill>
                  <pic:spPr bwMode="auto">
                    <a:xfrm>
                      <a:off x="0" y="0"/>
                      <a:ext cx="5623560" cy="245745"/>
                    </a:xfrm>
                    <a:prstGeom prst="rect">
                      <a:avLst/>
                    </a:prstGeom>
                    <a:noFill/>
                  </pic:spPr>
                </pic:pic>
              </a:graphicData>
            </a:graphic>
          </wp:inline>
        </w:drawing>
      </w:r>
    </w:p>
    <w:p>
      <w:pPr>
        <w:pStyle w:val="Heading2"/>
        <w:keepNext w:val="true"/>
        <w:keepLines/>
        <w:widowControl/>
        <w:rPr/>
      </w:pPr>
      <w:bookmarkStart w:id="352" w:name="__RefHeading___Toc8519_528838595"/>
      <w:bookmarkEnd w:id="352"/>
      <w:r>
        <w:rPr/>
        <w:t>21.3 Data coverage</w:t>
      </w:r>
    </w:p>
    <w:p>
      <w:pPr>
        <w:pStyle w:val="Normal"/>
        <w:rPr/>
      </w:pPr>
      <w:bookmarkStart w:id="353" w:name="data-coverage"/>
      <w:r>
        <w:rPr/>
        <w:t>Coverage is calculated from approved metric weights, not the count of populated fields. Missing a 20% sub-index matters more than missing a low-weight diagnostic field.</w:t>
      </w:r>
      <w:bookmarkEnd w:id="353"/>
    </w:p>
    <w:p>
      <w:pPr>
        <w:pStyle w:val="Heading2"/>
        <w:keepNext w:val="true"/>
        <w:keepLines/>
        <w:widowControl/>
        <w:rPr/>
      </w:pPr>
      <w:bookmarkStart w:id="354" w:name="__RefHeading___Toc8521_528838595"/>
      <w:bookmarkEnd w:id="354"/>
      <w:r>
        <w:rPr/>
        <w:t>21.4 Source quality and independence</w:t>
      </w:r>
    </w:p>
    <w:p>
      <w:pPr>
        <w:pStyle w:val="Normal"/>
        <w:rPr/>
      </w:pPr>
      <w:bookmarkStart w:id="355" w:name="source-quality-and-independence"/>
      <w:r>
        <w:rPr/>
        <w:t>Source quality ranks evidence by verifiability, public accessibility, reproducibility, independence and revision transparency. A direct, reproducible chain query scores more highly than an opaque proprietary estimate.</w:t>
      </w:r>
      <w:bookmarkEnd w:id="355"/>
    </w:p>
    <w:p>
      <w:pPr>
        <w:pStyle w:val="Heading2"/>
        <w:keepNext w:val="true"/>
        <w:keepLines/>
        <w:widowControl/>
        <w:rPr/>
      </w:pPr>
      <w:bookmarkStart w:id="356" w:name="__RefHeading___Toc8523_528838595"/>
      <w:bookmarkEnd w:id="356"/>
      <w:r>
        <w:rPr/>
        <w:t>21.5 Adapter validation</w:t>
      </w:r>
    </w:p>
    <w:p>
      <w:pPr>
        <w:pStyle w:val="Normal"/>
        <w:rPr/>
      </w:pPr>
      <w:bookmarkStart w:id="357" w:name="adapter-validation"/>
      <w:r>
        <w:rPr/>
        <w:t>Adapter confidence includes unit tests, fixture tests, historical regression, peer review, reproducible builds, maintainer activity and monitoring. A certified adapter can lose confidence if dependencies become stale or tests fail.</w:t>
      </w:r>
      <w:bookmarkEnd w:id="357"/>
    </w:p>
    <w:p>
      <w:pPr>
        <w:pStyle w:val="Heading2"/>
        <w:keepNext w:val="true"/>
        <w:keepLines/>
        <w:widowControl/>
        <w:rPr/>
      </w:pPr>
      <w:bookmarkStart w:id="358" w:name="__RefHeading___Toc8525_528838595"/>
      <w:bookmarkEnd w:id="358"/>
      <w:r>
        <w:rPr/>
        <w:t>21.6 Freshness and historical depth</w:t>
      </w:r>
    </w:p>
    <w:p>
      <w:pPr>
        <w:pStyle w:val="Normal"/>
        <w:rPr/>
      </w:pPr>
      <w:bookmarkStart w:id="359" w:name="freshness-and-historical-depth"/>
      <w:r>
        <w:rPr/>
        <w:t>Freshness is measured against the metric registry’s service-level objective. Historical depth matters because persistence and resilience cannot be inferred from a brief period.</w:t>
      </w:r>
      <w:bookmarkEnd w:id="359"/>
    </w:p>
    <w:p>
      <w:pPr>
        <w:pStyle w:val="Heading2"/>
        <w:keepNext w:val="true"/>
        <w:keepLines/>
        <w:widowControl/>
        <w:rPr/>
      </w:pPr>
      <w:bookmarkStart w:id="360" w:name="__RefHeading___Toc8527_528838595"/>
      <w:bookmarkEnd w:id="360"/>
      <w:r>
        <w:rPr/>
        <w:t>21.7 Cross-source consistency</w:t>
      </w:r>
    </w:p>
    <w:p>
      <w:pPr>
        <w:pStyle w:val="Normal"/>
        <w:rPr/>
      </w:pPr>
      <w:bookmarkStart w:id="361" w:name="cross-source-consistency"/>
      <w:r>
        <w:rPr/>
        <w:t>Where multiple sources are expected to agree, the framework measures divergence. Large unexplained variance lowers confidence and may trigger a dispute.</w:t>
      </w:r>
      <w:bookmarkEnd w:id="361"/>
    </w:p>
    <w:p>
      <w:pPr>
        <w:pStyle w:val="Heading2"/>
        <w:keepNext w:val="true"/>
        <w:keepLines/>
        <w:widowControl/>
        <w:rPr/>
      </w:pPr>
      <w:bookmarkStart w:id="362" w:name="__RefHeading___Toc8529_528838595"/>
      <w:bookmarkEnd w:id="362"/>
      <w:r>
        <w:rPr/>
        <w:t>21.8 Model stability and dispute status</w:t>
      </w:r>
    </w:p>
    <w:p>
      <w:pPr>
        <w:pStyle w:val="Normal"/>
        <w:rPr/>
      </w:pPr>
      <w:bookmarkStart w:id="363" w:name="model-stability-and-dispute-status"/>
      <w:r>
        <w:rPr/>
        <w:t>Sensitivity analysis tests how much the result changes under reasonable benchmark and classification variations. Unresolved disputes, recent methodology changes and high sensitivity reduce confidence.</w:t>
      </w:r>
      <w:bookmarkEnd w:id="363"/>
    </w:p>
    <w:p>
      <w:pPr>
        <w:pStyle w:val="Heading2"/>
        <w:keepNext w:val="true"/>
        <w:keepLines/>
        <w:widowControl/>
        <w:rPr/>
      </w:pPr>
      <w:bookmarkStart w:id="364" w:name="__RefHeading___Toc8531_528838595"/>
      <w:bookmarkEnd w:id="364"/>
      <w:r>
        <w:rPr/>
        <w:t>21.9 Confidence is not performance</w:t>
      </w:r>
    </w:p>
    <w:p>
      <w:pPr>
        <w:pStyle w:val="Normal"/>
        <w:rPr/>
      </w:pPr>
      <w:bookmarkStart w:id="365" w:name="vox-confidence-score-vcs"/>
      <w:bookmarkStart w:id="366" w:name="confidence-is-not-performance"/>
      <w:r>
        <w:rPr/>
        <w:t>A low-performing network can have very high VCS if its weak performance is measured accurately. A high-performing network can have low VCS if evidence is incomplete. VCS must never be folded into VTS as a performance reward or penalty; it governs how strongly the score can be relied upon and published.</w:t>
      </w:r>
      <w:bookmarkEnd w:id="365"/>
      <w:bookmarkEnd w:id="366"/>
      <w:r>
        <w:br w:type="page"/>
      </w:r>
    </w:p>
    <w:p>
      <w:pPr>
        <w:pStyle w:val="PartTitle"/>
        <w:spacing w:before="0" w:after="360"/>
        <w:rPr/>
      </w:pPr>
      <w:bookmarkStart w:id="367" w:name="__RefHeading___Toc8533_528838595"/>
      <w:bookmarkStart w:id="368" w:name="part-v-vox-units-and-v-forex"/>
      <w:bookmarkEnd w:id="367"/>
      <w:r>
        <w:rPr/>
        <w:t>Part V — VOX Units and V-FOREX</w:t>
      </w:r>
      <w:bookmarkEnd w:id="368"/>
    </w:p>
    <w:p>
      <w:pPr>
        <w:pStyle w:val="Heading1"/>
        <w:keepNext w:val="true"/>
        <w:keepLines/>
        <w:widowControl/>
        <w:pBdr>
          <w:bottom w:val="single" w:sz="6" w:space="5" w:color="8AB2BF"/>
        </w:pBdr>
        <w:jc w:val="start"/>
        <w:rPr/>
      </w:pPr>
      <w:bookmarkStart w:id="369" w:name="__RefHeading___Toc8535_528838595"/>
      <w:bookmarkEnd w:id="369"/>
      <w:r>
        <w:rPr/>
        <w:t>22. VOX as an Analytical Unit</w:t>
      </w:r>
    </w:p>
    <w:p>
      <w:pPr>
        <w:pStyle w:val="Heading2"/>
        <w:keepNext w:val="true"/>
        <w:keepLines/>
        <w:widowControl/>
        <w:rPr/>
      </w:pPr>
      <w:bookmarkStart w:id="370" w:name="__RefHeading___Toc8537_528838595"/>
      <w:bookmarkEnd w:id="370"/>
      <w:r>
        <w:rPr/>
        <w:t>22.1 Measurement-first design</w:t>
      </w:r>
    </w:p>
    <w:p>
      <w:pPr>
        <w:pStyle w:val="Normal"/>
        <w:rPr/>
      </w:pPr>
      <w:r>
        <w:rPr/>
        <w:t>The first form of VOX is an analytical denomination, not a transferable token. A network’s analytical VOX unit expresses its VTS relative to the ERU and other networks. This enables research, comparison and accounting without creating monetary liabilities or market risk.</w:t>
      </w:r>
    </w:p>
    <w:p>
      <w:pPr>
        <w:pStyle w:val="BodyText"/>
        <w:widowControl/>
        <w:rPr/>
      </w:pPr>
      <w:r>
        <w:rPr/>
        <w:t>For network i:</w:t>
      </w:r>
    </w:p>
    <w:p>
      <w:pPr>
        <w:pStyle w:val="BodyText"/>
        <w:keepLines/>
        <w:spacing w:before="80" w:after="160"/>
        <w:jc w:val="center"/>
        <w:rPr/>
      </w:pPr>
      <w:r>
        <w:rPr/>
        <w:drawing>
          <wp:inline distT="0" distB="0" distL="0" distR="0">
            <wp:extent cx="3629025" cy="310515"/>
            <wp:effectExtent l="0" t="0" r="0" b="0"/>
            <wp:docPr id="37" name="Picture 37" descr="1\,\mathrm{Analytical\ VOX}_i\equiv VTS_i\times 1\,ERU"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1\,\mathrm{Analytical\ VOX}_i\equiv VTS_i\times 1\,ERU" title="Equation"/>
                    <pic:cNvPicPr>
                      <a:picLocks noChangeAspect="1" noChangeArrowheads="1"/>
                    </pic:cNvPicPr>
                  </pic:nvPicPr>
                  <pic:blipFill>
                    <a:blip r:embed="rId38"/>
                    <a:stretch>
                      <a:fillRect/>
                    </a:stretch>
                  </pic:blipFill>
                  <pic:spPr bwMode="auto">
                    <a:xfrm>
                      <a:off x="0" y="0"/>
                      <a:ext cx="3629025" cy="310515"/>
                    </a:xfrm>
                    <a:prstGeom prst="rect">
                      <a:avLst/>
                    </a:prstGeom>
                    <a:noFill/>
                  </pic:spPr>
                </pic:pic>
              </a:graphicData>
            </a:graphic>
          </wp:inline>
        </w:drawing>
      </w:r>
    </w:p>
    <w:p>
      <w:pPr>
        <w:pStyle w:val="Normal"/>
        <w:rPr/>
      </w:pPr>
      <w:r>
        <w:rPr/>
        <w:t>This statement does not claim a fiat price. It means that the network’s measured economic performance equals VTS_i times the current reference unit.</w:t>
      </w:r>
    </w:p>
    <w:p>
      <w:pPr>
        <w:pStyle w:val="Heading2"/>
        <w:keepNext w:val="true"/>
        <w:keepLines/>
        <w:widowControl/>
        <w:rPr/>
      </w:pPr>
      <w:bookmarkStart w:id="371" w:name="__RefHeading___Toc8539_528838595"/>
      <w:bookmarkEnd w:id="371"/>
      <w:r>
        <w:rPr/>
        <w:t>22.2 Network naming</w:t>
      </w:r>
    </w:p>
    <w:p>
      <w:pPr>
        <w:pStyle w:val="Normal"/>
        <w:rPr/>
      </w:pPr>
      <w:bookmarkStart w:id="372" w:name="network-naming"/>
      <w:r>
        <w:rPr/>
        <w:t>Network-specific analytical units may use transparent symbols such as VOX-ETH, VOX-BTC or VOX-SOL. Symbols are identifiers, not claims of endorsement by the underlying network.</w:t>
      </w:r>
      <w:bookmarkEnd w:id="372"/>
    </w:p>
    <w:p>
      <w:pPr>
        <w:pStyle w:val="Heading2"/>
        <w:keepNext w:val="true"/>
        <w:keepLines/>
        <w:widowControl/>
        <w:rPr/>
      </w:pPr>
      <w:bookmarkStart w:id="373" w:name="__RefHeading___Toc8541_528838595"/>
      <w:bookmarkEnd w:id="373"/>
      <w:r>
        <w:rPr/>
        <w:t>22.3 Uses before tokenisation</w:t>
      </w:r>
    </w:p>
    <w:p>
      <w:pPr>
        <w:pStyle w:val="Normal"/>
        <w:rPr/>
      </w:pPr>
      <w:r>
        <w:rPr/>
        <w:t>Analytical VOX can support:</w:t>
      </w:r>
    </w:p>
    <w:p>
      <w:pPr>
        <w:pStyle w:val="Compact"/>
        <w:widowControl/>
        <w:numPr>
          <w:ilvl w:val="0"/>
          <w:numId w:val="1146"/>
        </w:numPr>
        <w:rPr/>
      </w:pPr>
      <w:r>
        <w:rPr/>
        <w:t>comparative network accounting;</w:t>
      </w:r>
    </w:p>
    <w:p>
      <w:pPr>
        <w:pStyle w:val="Compact"/>
        <w:widowControl/>
        <w:numPr>
          <w:ilvl w:val="0"/>
          <w:numId w:val="1147"/>
        </w:numPr>
        <w:rPr/>
      </w:pPr>
      <w:r>
        <w:rPr/>
        <w:t>research dashboards and reports;</w:t>
      </w:r>
    </w:p>
    <w:p>
      <w:pPr>
        <w:pStyle w:val="Compact"/>
        <w:widowControl/>
        <w:numPr>
          <w:ilvl w:val="0"/>
          <w:numId w:val="1148"/>
        </w:numPr>
        <w:rPr/>
      </w:pPr>
      <w:r>
        <w:rPr/>
        <w:t>benchmark portfolios;</w:t>
      </w:r>
    </w:p>
    <w:p>
      <w:pPr>
        <w:pStyle w:val="Compact"/>
        <w:widowControl/>
        <w:numPr>
          <w:ilvl w:val="0"/>
          <w:numId w:val="1149"/>
        </w:numPr>
        <w:rPr/>
      </w:pPr>
      <w:r>
        <w:rPr/>
        <w:t>cross-chain economic indices;</w:t>
      </w:r>
    </w:p>
    <w:p>
      <w:pPr>
        <w:pStyle w:val="Compact"/>
        <w:widowControl/>
        <w:numPr>
          <w:ilvl w:val="0"/>
          <w:numId w:val="1150"/>
        </w:numPr>
        <w:rPr/>
      </w:pPr>
      <w:r>
        <w:rPr/>
        <w:t>collateral and risk research;</w:t>
      </w:r>
    </w:p>
    <w:p>
      <w:pPr>
        <w:pStyle w:val="Compact"/>
        <w:widowControl/>
        <w:numPr>
          <w:ilvl w:val="0"/>
          <w:numId w:val="1151"/>
        </w:numPr>
        <w:rPr/>
      </w:pPr>
      <w:r>
        <w:rPr/>
        <w:t>governance impact simulation;</w:t>
      </w:r>
    </w:p>
    <w:p>
      <w:pPr>
        <w:pStyle w:val="Compact"/>
        <w:widowControl/>
        <w:numPr>
          <w:ilvl w:val="0"/>
          <w:numId w:val="1152"/>
        </w:numPr>
        <w:rPr/>
      </w:pPr>
      <w:r>
        <w:rPr/>
        <w:t>historical economic-performance charts;</w:t>
      </w:r>
    </w:p>
    <w:p>
      <w:pPr>
        <w:pStyle w:val="Compact"/>
        <w:widowControl/>
        <w:numPr>
          <w:ilvl w:val="0"/>
          <w:numId w:val="1153"/>
        </w:numPr>
        <w:rPr/>
      </w:pPr>
      <w:bookmarkStart w:id="374" w:name="uses-before-tokenisation"/>
      <w:r>
        <w:rPr/>
        <w:t>V-FOREX reference calculations.</w:t>
      </w:r>
      <w:bookmarkEnd w:id="374"/>
    </w:p>
    <w:p>
      <w:pPr>
        <w:pStyle w:val="Heading2"/>
        <w:keepNext w:val="true"/>
        <w:keepLines/>
        <w:widowControl/>
        <w:rPr/>
      </w:pPr>
      <w:bookmarkStart w:id="375" w:name="__RefHeading___Toc8543_528838595"/>
      <w:bookmarkEnd w:id="375"/>
      <w:r>
        <w:rPr/>
        <w:t>22.4 No ownership claim</w:t>
      </w:r>
    </w:p>
    <w:p>
      <w:pPr>
        <w:pStyle w:val="Normal"/>
        <w:rPr/>
      </w:pPr>
      <w:bookmarkStart w:id="376" w:name="vox-as-an-analytical-unit"/>
      <w:bookmarkStart w:id="377" w:name="no-ownership-claim"/>
      <w:r>
        <w:rPr/>
        <w:t>An analytical VOX unit does not represent ownership of a network, a claim on fees, a debt obligation or a redemption right. Any later transferable implementation must define its own legal and economic rights explicitly.</w:t>
      </w:r>
      <w:bookmarkEnd w:id="376"/>
      <w:bookmarkEnd w:id="377"/>
    </w:p>
    <w:p>
      <w:pPr>
        <w:pStyle w:val="Heading1"/>
        <w:keepNext w:val="true"/>
        <w:keepLines/>
        <w:widowControl/>
        <w:pBdr>
          <w:bottom w:val="single" w:sz="6" w:space="5" w:color="8AB2BF"/>
        </w:pBdr>
        <w:jc w:val="start"/>
        <w:rPr/>
      </w:pPr>
      <w:bookmarkStart w:id="378" w:name="__RefHeading___Toc8545_528838595"/>
      <w:bookmarkEnd w:id="378"/>
      <w:r>
        <w:rPr/>
        <w:t>23. Optional Tokenised VOX</w:t>
      </w:r>
    </w:p>
    <w:p>
      <w:pPr>
        <w:pStyle w:val="Heading2"/>
        <w:keepNext w:val="true"/>
        <w:keepLines/>
        <w:widowControl/>
        <w:rPr/>
      </w:pPr>
      <w:bookmarkStart w:id="379" w:name="__RefHeading___Toc8547_528838595"/>
      <w:bookmarkEnd w:id="379"/>
      <w:r>
        <w:rPr/>
        <w:t>23.1 Activation principle</w:t>
      </w:r>
    </w:p>
    <w:p>
      <w:pPr>
        <w:pStyle w:val="Normal"/>
        <w:rPr/>
      </w:pPr>
      <w:r>
        <w:rPr/>
        <w:t>Tokenised VOX is optional. It may be activated only when the network measurement is mature enough to support a high-stakes economic implementation.</w:t>
      </w:r>
    </w:p>
    <w:p>
      <w:pPr>
        <w:pStyle w:val="BodyText"/>
        <w:widowControl/>
        <w:rPr/>
      </w:pPr>
      <w:r>
        <w:rPr/>
        <w:t>Minimum activation conditions include:</w:t>
      </w:r>
    </w:p>
    <w:p>
      <w:pPr>
        <w:pStyle w:val="Compact"/>
        <w:widowControl/>
        <w:numPr>
          <w:ilvl w:val="0"/>
          <w:numId w:val="1154"/>
        </w:numPr>
        <w:rPr/>
      </w:pPr>
      <w:r>
        <w:rPr/>
        <w:t>VCS of at least 85 for a sustained governance-defined period;</w:t>
      </w:r>
    </w:p>
    <w:p>
      <w:pPr>
        <w:pStyle w:val="Compact"/>
        <w:widowControl/>
        <w:numPr>
          <w:ilvl w:val="0"/>
          <w:numId w:val="1155"/>
        </w:numPr>
        <w:rPr/>
      </w:pPr>
      <w:r>
        <w:rPr/>
        <w:t>certified adapters for all six indices;</w:t>
      </w:r>
    </w:p>
    <w:p>
      <w:pPr>
        <w:pStyle w:val="Compact"/>
        <w:widowControl/>
        <w:numPr>
          <w:ilvl w:val="0"/>
          <w:numId w:val="1156"/>
        </w:numPr>
        <w:rPr/>
      </w:pPr>
      <w:r>
        <w:rPr/>
        <w:t>independent security and economic audits;</w:t>
      </w:r>
    </w:p>
    <w:p>
      <w:pPr>
        <w:pStyle w:val="Compact"/>
        <w:widowControl/>
        <w:numPr>
          <w:ilvl w:val="0"/>
          <w:numId w:val="1157"/>
        </w:numPr>
        <w:rPr/>
      </w:pPr>
      <w:r>
        <w:rPr/>
        <w:t>public issuance, contraction and settlement specifications;</w:t>
      </w:r>
    </w:p>
    <w:p>
      <w:pPr>
        <w:pStyle w:val="Compact"/>
        <w:widowControl/>
        <w:numPr>
          <w:ilvl w:val="0"/>
          <w:numId w:val="1158"/>
        </w:numPr>
        <w:rPr/>
      </w:pPr>
      <w:r>
        <w:rPr/>
        <w:t>legal analysis in relevant jurisdictions;</w:t>
      </w:r>
    </w:p>
    <w:p>
      <w:pPr>
        <w:pStyle w:val="Compact"/>
        <w:widowControl/>
        <w:numPr>
          <w:ilvl w:val="0"/>
          <w:numId w:val="1159"/>
        </w:numPr>
        <w:rPr/>
      </w:pPr>
      <w:r>
        <w:rPr/>
        <w:t>market-liquidity and manipulation tests;</w:t>
      </w:r>
    </w:p>
    <w:p>
      <w:pPr>
        <w:pStyle w:val="Compact"/>
        <w:widowControl/>
        <w:numPr>
          <w:ilvl w:val="0"/>
          <w:numId w:val="1160"/>
        </w:numPr>
        <w:rPr/>
      </w:pPr>
      <w:r>
        <w:rPr/>
        <w:t>emergency and recovery procedures;</w:t>
      </w:r>
    </w:p>
    <w:p>
      <w:pPr>
        <w:pStyle w:val="Compact"/>
        <w:widowControl/>
        <w:numPr>
          <w:ilvl w:val="0"/>
          <w:numId w:val="1161"/>
        </w:numPr>
        <w:rPr/>
      </w:pPr>
      <w:bookmarkStart w:id="380" w:name="activation-principle"/>
      <w:r>
        <w:rPr/>
        <w:t>DAO supermajority approval after public simulation.</w:t>
      </w:r>
      <w:bookmarkEnd w:id="380"/>
    </w:p>
    <w:p>
      <w:pPr>
        <w:pStyle w:val="Heading2"/>
        <w:keepNext w:val="true"/>
        <w:keepLines/>
        <w:widowControl/>
        <w:rPr/>
      </w:pPr>
      <w:bookmarkStart w:id="381" w:name="__RefHeading___Toc8549_528838595"/>
      <w:bookmarkEnd w:id="381"/>
      <w:r>
        <w:rPr/>
        <w:t>23.2 Universal parameters</w:t>
      </w:r>
    </w:p>
    <w:p>
      <w:pPr>
        <w:pStyle w:val="Normal"/>
        <w:rPr/>
      </w:pPr>
      <w:r>
        <w:rPr/>
        <w:t>Edition 3.1 rejects arbitrary chain-specific maximum capacities. A common reference capacity C_ref and curvature parameter κ apply universally within an implementation version.</w:t>
      </w:r>
    </w:p>
    <w:p>
      <w:pPr>
        <w:pStyle w:val="BodyText"/>
        <w:widowControl/>
        <w:rPr/>
      </w:pPr>
      <w:r>
        <w:rPr/>
        <w:t>The target indexed supply is:</w:t>
      </w:r>
    </w:p>
    <w:p>
      <w:pPr>
        <w:pStyle w:val="BodyText"/>
        <w:keepLines/>
        <w:spacing w:before="80" w:after="160"/>
        <w:jc w:val="center"/>
        <w:rPr/>
      </w:pPr>
      <w:r>
        <w:rPr/>
        <w:drawing>
          <wp:inline distT="0" distB="0" distL="0" distR="0">
            <wp:extent cx="3594735" cy="327660"/>
            <wp:effectExtent l="0" t="0" r="0" b="0"/>
            <wp:docPr id="38" name="Picture 38" descr="S_{\mathrm{target},t}=C_{\mathrm{ref}}\,\mathrm{clip}\!\left(VTS_t^{\kappa},\,g_{\min},\,g_{\max}\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S_{\mathrm{target},t}=C_{\mathrm{ref}}\,\mathrm{clip}\!\left(VTS_t^{\kappa},\,g_{\min},\,g_{\max}\right)" title="Equation"/>
                    <pic:cNvPicPr>
                      <a:picLocks noChangeAspect="1" noChangeArrowheads="1"/>
                    </pic:cNvPicPr>
                  </pic:nvPicPr>
                  <pic:blipFill>
                    <a:blip r:embed="rId39"/>
                    <a:stretch>
                      <a:fillRect/>
                    </a:stretch>
                  </pic:blipFill>
                  <pic:spPr bwMode="auto">
                    <a:xfrm>
                      <a:off x="0" y="0"/>
                      <a:ext cx="3594735" cy="327660"/>
                    </a:xfrm>
                    <a:prstGeom prst="rect">
                      <a:avLst/>
                    </a:prstGeom>
                    <a:noFill/>
                  </pic:spPr>
                </pic:pic>
              </a:graphicData>
            </a:graphic>
          </wp:inline>
        </w:drawing>
      </w:r>
    </w:p>
    <w:p>
      <w:pPr>
        <w:pStyle w:val="Normal"/>
        <w:rPr/>
      </w:pPr>
      <w:r>
        <w:rPr/>
        <w:t>where:</w:t>
      </w:r>
    </w:p>
    <w:p>
      <w:pPr>
        <w:pStyle w:val="Compact"/>
        <w:widowControl/>
        <w:numPr>
          <w:ilvl w:val="0"/>
          <w:numId w:val="1162"/>
        </w:numPr>
        <w:rPr/>
      </w:pPr>
      <w:r>
        <w:rPr/>
        <w:t>C_ref is the universal reference quantity;</w:t>
      </w:r>
    </w:p>
    <w:p>
      <w:pPr>
        <w:pStyle w:val="Compact"/>
        <w:widowControl/>
        <w:numPr>
          <w:ilvl w:val="0"/>
          <w:numId w:val="1163"/>
        </w:numPr>
        <w:rPr/>
      </w:pPr>
      <w:r>
        <w:rPr/>
        <w:t>VTS_t is the standardised score;</w:t>
      </w:r>
    </w:p>
    <w:p>
      <w:pPr>
        <w:pStyle w:val="Compact"/>
        <w:widowControl/>
        <w:numPr>
          <w:ilvl w:val="0"/>
          <w:numId w:val="1164"/>
        </w:numPr>
        <w:rPr/>
      </w:pPr>
      <w:r>
        <w:rPr/>
        <w:t>κ controls non-linearity;</w:t>
      </w:r>
    </w:p>
    <w:p>
      <w:pPr>
        <w:pStyle w:val="Compact"/>
        <w:widowControl/>
        <w:numPr>
          <w:ilvl w:val="0"/>
          <w:numId w:val="1165"/>
        </w:numPr>
        <w:rPr/>
      </w:pPr>
      <w:r>
        <w:rPr/>
        <w:t>g_min and g_max define constitutional bounds.</w:t>
      </w:r>
    </w:p>
    <w:p>
      <w:pPr>
        <w:pStyle w:val="Normal"/>
        <w:rPr/>
      </w:pPr>
      <w:bookmarkStart w:id="382" w:name="universal-parameters"/>
      <w:r>
        <w:rPr/>
        <w:t>These parameters affect quantity accounting, not guaranteed market price.</w:t>
      </w:r>
      <w:bookmarkEnd w:id="382"/>
    </w:p>
    <w:p>
      <w:pPr>
        <w:pStyle w:val="Heading2"/>
        <w:keepNext w:val="true"/>
        <w:keepLines/>
        <w:widowControl/>
        <w:rPr/>
      </w:pPr>
      <w:bookmarkStart w:id="383" w:name="__RefHeading___Toc8551_528838595"/>
      <w:bookmarkEnd w:id="383"/>
      <w:r>
        <w:rPr/>
        <w:t>23.3 Controlled adjustment</w:t>
      </w:r>
    </w:p>
    <w:p>
      <w:pPr>
        <w:pStyle w:val="Normal"/>
        <w:rPr/>
      </w:pPr>
      <w:r>
        <w:rPr/>
        <w:t>The target cannot be reached through unlimited instantaneous minting or burning. The allowed adjustment rate is bounded:</w:t>
      </w:r>
    </w:p>
    <w:p>
      <w:pPr>
        <w:pStyle w:val="BodyText"/>
        <w:keepLines/>
        <w:spacing w:before="80" w:after="160"/>
        <w:jc w:val="center"/>
        <w:rPr/>
      </w:pPr>
      <w:r>
        <w:rPr/>
        <w:drawing>
          <wp:inline distT="0" distB="0" distL="0" distR="0">
            <wp:extent cx="3625850" cy="522605"/>
            <wp:effectExtent l="0" t="0" r="0" b="0"/>
            <wp:docPr id="39" name="Picture 39" descr="r_t=\mathrm{clip}\!\left(\frac{S_{\mathrm{target},t}}{S_{\mathrm{current},t}}-1,\,-r_{\max},\,+r_{\max}\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r_t=\mathrm{clip}\!\left(\frac{S_{\mathrm{target},t}}{S_{\mathrm{current},t}}-1,\,-r_{\max},\,+r_{\max}\right)" title="Equation"/>
                    <pic:cNvPicPr>
                      <a:picLocks noChangeAspect="1" noChangeArrowheads="1"/>
                    </pic:cNvPicPr>
                  </pic:nvPicPr>
                  <pic:blipFill>
                    <a:blip r:embed="rId40"/>
                    <a:stretch>
                      <a:fillRect/>
                    </a:stretch>
                  </pic:blipFill>
                  <pic:spPr bwMode="auto">
                    <a:xfrm>
                      <a:off x="0" y="0"/>
                      <a:ext cx="3625850" cy="522605"/>
                    </a:xfrm>
                    <a:prstGeom prst="rect">
                      <a:avLst/>
                    </a:prstGeom>
                    <a:noFill/>
                  </pic:spPr>
                </pic:pic>
              </a:graphicData>
            </a:graphic>
          </wp:inline>
        </w:drawing>
      </w:r>
    </w:p>
    <w:p>
      <w:pPr>
        <w:pStyle w:val="Normal"/>
        <w:keepLines/>
        <w:spacing w:before="80" w:after="160"/>
        <w:jc w:val="center"/>
        <w:rPr/>
      </w:pPr>
      <w:r>
        <w:rPr/>
        <w:drawing>
          <wp:inline distT="0" distB="0" distL="0" distR="0">
            <wp:extent cx="2334895" cy="303530"/>
            <wp:effectExtent l="0" t="0" r="0" b="0"/>
            <wp:docPr id="40" name="Picture 40" descr="S_{\mathrm{next},t}=S_{\mathrm{current},t}(1+r_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S_{\mathrm{next},t}=S_{\mathrm{current},t}(1+r_t)" title="Equation"/>
                    <pic:cNvPicPr>
                      <a:picLocks noChangeAspect="1" noChangeArrowheads="1"/>
                    </pic:cNvPicPr>
                  </pic:nvPicPr>
                  <pic:blipFill>
                    <a:blip r:embed="rId41"/>
                    <a:stretch>
                      <a:fillRect/>
                    </a:stretch>
                  </pic:blipFill>
                  <pic:spPr bwMode="auto">
                    <a:xfrm>
                      <a:off x="0" y="0"/>
                      <a:ext cx="2334895" cy="303530"/>
                    </a:xfrm>
                    <a:prstGeom prst="rect">
                      <a:avLst/>
                    </a:prstGeom>
                    <a:noFill/>
                  </pic:spPr>
                </pic:pic>
              </a:graphicData>
            </a:graphic>
          </wp:inline>
        </w:drawing>
      </w:r>
    </w:p>
    <w:p>
      <w:pPr>
        <w:pStyle w:val="Normal"/>
        <w:rPr/>
      </w:pPr>
      <w:r>
        <w:rPr/>
        <w:t>where r_max limits expansion and contraction per adjustment period.</w:t>
      </w:r>
    </w:p>
    <w:p>
      <w:pPr>
        <w:pStyle w:val="Heading2"/>
        <w:keepNext w:val="true"/>
        <w:keepLines/>
        <w:widowControl/>
        <w:rPr/>
      </w:pPr>
      <w:bookmarkStart w:id="384" w:name="__RefHeading___Toc8553_528838595"/>
      <w:bookmarkEnd w:id="384"/>
      <w:r>
        <w:rPr/>
        <w:t>23.4 Explicit contraction</w:t>
      </w:r>
    </w:p>
    <w:p>
      <w:pPr>
        <w:pStyle w:val="Normal"/>
        <w:rPr/>
      </w:pPr>
      <w:r>
        <w:rPr/>
        <w:t>The earlier framework described a compressing ceiling without defining how supply would contract. Edition 3.1 resolves this by requiring a share-preserving indexed-balance mechanism, unless a future implementation proves a superior mechanism.</w:t>
      </w:r>
    </w:p>
    <w:p>
      <w:pPr>
        <w:pStyle w:val="BodyText"/>
        <w:widowControl/>
        <w:rPr/>
      </w:pPr>
      <w:r>
        <w:rPr/>
        <w:t>Under indexed balances, each holder owns a constant number of shares q_h. The visible balance is:</w:t>
      </w:r>
    </w:p>
    <w:p>
      <w:pPr>
        <w:pStyle w:val="BodyText"/>
        <w:keepLines/>
        <w:spacing w:before="80" w:after="160"/>
        <w:jc w:val="center"/>
        <w:rPr/>
      </w:pPr>
      <w:r>
        <w:rPr/>
        <w:drawing>
          <wp:inline distT="0" distB="0" distL="0" distR="0">
            <wp:extent cx="1706880" cy="307340"/>
            <wp:effectExtent l="0" t="0" r="0" b="0"/>
            <wp:docPr id="41" name="Picture 41" descr="\mathrm{Balance}_{h,t}=q_h I_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mathrm{Balance}_{h,t}=q_h I_t" title="Equation"/>
                    <pic:cNvPicPr>
                      <a:picLocks noChangeAspect="1" noChangeArrowheads="1"/>
                    </pic:cNvPicPr>
                  </pic:nvPicPr>
                  <pic:blipFill>
                    <a:blip r:embed="rId42"/>
                    <a:stretch>
                      <a:fillRect/>
                    </a:stretch>
                  </pic:blipFill>
                  <pic:spPr bwMode="auto">
                    <a:xfrm>
                      <a:off x="0" y="0"/>
                      <a:ext cx="1706880" cy="307340"/>
                    </a:xfrm>
                    <a:prstGeom prst="rect">
                      <a:avLst/>
                    </a:prstGeom>
                    <a:noFill/>
                  </pic:spPr>
                </pic:pic>
              </a:graphicData>
            </a:graphic>
          </wp:inline>
        </w:drawing>
      </w:r>
    </w:p>
    <w:p>
      <w:pPr>
        <w:pStyle w:val="Normal"/>
        <w:rPr/>
      </w:pPr>
      <w:r>
        <w:rPr/>
        <w:t>where I_t is a global supply index. When target supply falls, I_t declines proportionally for all non-exempt balances. When target supply rises, I_t increases proportionally. No participant is selectively diluted or protected.</w:t>
      </w:r>
    </w:p>
    <w:p>
      <w:pPr>
        <w:pStyle w:val="BodyText"/>
        <w:widowControl/>
        <w:rPr/>
      </w:pPr>
      <w:bookmarkStart w:id="385" w:name="explicit-contraction"/>
      <w:r>
        <w:rPr/>
        <w:t>Contracts and venues must be designed to support indexed balances safely. Any exempt account, treasury or bridge representation must be disclosed and included in total-supply accounting.</w:t>
      </w:r>
      <w:bookmarkEnd w:id="385"/>
    </w:p>
    <w:p>
      <w:pPr>
        <w:pStyle w:val="Heading2"/>
        <w:keepNext w:val="true"/>
        <w:keepLines/>
        <w:widowControl/>
        <w:rPr/>
      </w:pPr>
      <w:bookmarkStart w:id="386" w:name="__RefHeading___Toc8555_528838595"/>
      <w:bookmarkEnd w:id="386"/>
      <w:r>
        <w:rPr/>
        <w:t>23.5 Alternative redemption-based design</w:t>
      </w:r>
    </w:p>
    <w:p>
      <w:pPr>
        <w:pStyle w:val="Normal"/>
        <w:rPr/>
      </w:pPr>
      <w:r>
        <w:rPr/>
        <w:t>A future implementation may use explicit mint and redemption rather than indexed balances, but only if it defines:</w:t>
      </w:r>
    </w:p>
    <w:p>
      <w:pPr>
        <w:pStyle w:val="Compact"/>
        <w:widowControl/>
        <w:numPr>
          <w:ilvl w:val="0"/>
          <w:numId w:val="1166"/>
        </w:numPr>
        <w:rPr/>
      </w:pPr>
      <w:r>
        <w:rPr/>
        <w:t>what asset or right is redeemed;</w:t>
      </w:r>
    </w:p>
    <w:p>
      <w:pPr>
        <w:pStyle w:val="Compact"/>
        <w:widowControl/>
        <w:numPr>
          <w:ilvl w:val="0"/>
          <w:numId w:val="1167"/>
        </w:numPr>
        <w:rPr/>
      </w:pPr>
      <w:r>
        <w:rPr/>
        <w:t>who bears contraction costs;</w:t>
      </w:r>
    </w:p>
    <w:p>
      <w:pPr>
        <w:pStyle w:val="Compact"/>
        <w:widowControl/>
        <w:numPr>
          <w:ilvl w:val="0"/>
          <w:numId w:val="1168"/>
        </w:numPr>
        <w:rPr/>
      </w:pPr>
      <w:r>
        <w:rPr/>
        <w:t>solvency and reserve rules;</w:t>
      </w:r>
    </w:p>
    <w:p>
      <w:pPr>
        <w:pStyle w:val="Compact"/>
        <w:widowControl/>
        <w:numPr>
          <w:ilvl w:val="0"/>
          <w:numId w:val="1169"/>
        </w:numPr>
        <w:rPr/>
      </w:pPr>
      <w:r>
        <w:rPr/>
        <w:t>redemption priority;</w:t>
      </w:r>
    </w:p>
    <w:p>
      <w:pPr>
        <w:pStyle w:val="Compact"/>
        <w:widowControl/>
        <w:numPr>
          <w:ilvl w:val="0"/>
          <w:numId w:val="1170"/>
        </w:numPr>
        <w:rPr/>
      </w:pPr>
      <w:r>
        <w:rPr/>
        <w:t>legal enforceability;</w:t>
      </w:r>
    </w:p>
    <w:p>
      <w:pPr>
        <w:pStyle w:val="Compact"/>
        <w:widowControl/>
        <w:numPr>
          <w:ilvl w:val="0"/>
          <w:numId w:val="1171"/>
        </w:numPr>
        <w:rPr/>
      </w:pPr>
      <w:r>
        <w:rPr/>
        <w:t>run and liquidity controls.</w:t>
      </w:r>
    </w:p>
    <w:p>
      <w:pPr>
        <w:pStyle w:val="Normal"/>
        <w:rPr/>
      </w:pPr>
      <w:bookmarkStart w:id="387" w:name="alternative-redemption-based-design"/>
      <w:r>
        <w:rPr/>
        <w:t>Without a credible redemption asset, a redemption claim must not be implied.</w:t>
      </w:r>
      <w:bookmarkEnd w:id="387"/>
    </w:p>
    <w:p>
      <w:pPr>
        <w:pStyle w:val="Heading2"/>
        <w:keepNext w:val="true"/>
        <w:keepLines/>
        <w:widowControl/>
        <w:rPr/>
      </w:pPr>
      <w:bookmarkStart w:id="388" w:name="__RefHeading___Toc8557_528838595"/>
      <w:bookmarkEnd w:id="388"/>
      <w:r>
        <w:rPr/>
        <w:t>23.6 No automatic price guarantee</w:t>
      </w:r>
    </w:p>
    <w:p>
      <w:pPr>
        <w:pStyle w:val="Normal"/>
        <w:rPr/>
      </w:pPr>
      <w:bookmarkStart w:id="389" w:name="no-automatic-price-guarantee"/>
      <w:r>
        <w:rPr/>
        <w:t>A VTS-linked supply rule does not guarantee that market price equals VTS, ERU or any reference rate. Price remains determined by supply, demand, liquidity, rights, expectations and market structure. The implementation must state this clearly.</w:t>
      </w:r>
      <w:bookmarkEnd w:id="389"/>
    </w:p>
    <w:p>
      <w:pPr>
        <w:pStyle w:val="Heading2"/>
        <w:keepNext w:val="true"/>
        <w:keepLines/>
        <w:widowControl/>
        <w:rPr/>
      </w:pPr>
      <w:bookmarkStart w:id="390" w:name="__RefHeading___Toc8559_528838595"/>
      <w:bookmarkEnd w:id="390"/>
      <w:r>
        <w:rPr/>
        <w:t>23.7 Demand and utility</w:t>
      </w:r>
    </w:p>
    <w:p>
      <w:pPr>
        <w:pStyle w:val="Normal"/>
        <w:rPr/>
      </w:pPr>
      <w:r>
        <w:rPr/>
        <w:t>Tokenised VOX requires genuine demand. Permitted utilities may include:</w:t>
      </w:r>
    </w:p>
    <w:p>
      <w:pPr>
        <w:pStyle w:val="Compact"/>
        <w:widowControl/>
        <w:numPr>
          <w:ilvl w:val="0"/>
          <w:numId w:val="1172"/>
        </w:numPr>
        <w:rPr/>
      </w:pPr>
      <w:r>
        <w:rPr/>
        <w:t>settlement of VOX-indexed obligations;</w:t>
      </w:r>
    </w:p>
    <w:p>
      <w:pPr>
        <w:pStyle w:val="Compact"/>
        <w:widowControl/>
        <w:numPr>
          <w:ilvl w:val="0"/>
          <w:numId w:val="1173"/>
        </w:numPr>
        <w:rPr/>
      </w:pPr>
      <w:r>
        <w:rPr/>
        <w:t>payment for data, verification or adapter services;</w:t>
      </w:r>
    </w:p>
    <w:p>
      <w:pPr>
        <w:pStyle w:val="Compact"/>
        <w:widowControl/>
        <w:numPr>
          <w:ilvl w:val="0"/>
          <w:numId w:val="1174"/>
        </w:numPr>
        <w:rPr/>
      </w:pPr>
      <w:r>
        <w:rPr/>
        <w:t>liquidity and clearing collateral under risk limits;</w:t>
      </w:r>
    </w:p>
    <w:p>
      <w:pPr>
        <w:pStyle w:val="Compact"/>
        <w:widowControl/>
        <w:numPr>
          <w:ilvl w:val="0"/>
          <w:numId w:val="1175"/>
        </w:numPr>
        <w:rPr/>
      </w:pPr>
      <w:r>
        <w:rPr/>
        <w:t>governance bonds and dispute stakes;</w:t>
      </w:r>
    </w:p>
    <w:p>
      <w:pPr>
        <w:pStyle w:val="Compact"/>
        <w:widowControl/>
        <w:numPr>
          <w:ilvl w:val="0"/>
          <w:numId w:val="1176"/>
        </w:numPr>
        <w:rPr/>
      </w:pPr>
      <w:r>
        <w:rPr/>
        <w:t>oracle security deposits;</w:t>
      </w:r>
    </w:p>
    <w:p>
      <w:pPr>
        <w:pStyle w:val="Compact"/>
        <w:widowControl/>
        <w:numPr>
          <w:ilvl w:val="0"/>
          <w:numId w:val="1177"/>
        </w:numPr>
        <w:rPr/>
      </w:pPr>
      <w:r>
        <w:rPr/>
        <w:t>cross-chain accounting and treasury use;</w:t>
      </w:r>
    </w:p>
    <w:p>
      <w:pPr>
        <w:pStyle w:val="Compact"/>
        <w:widowControl/>
        <w:numPr>
          <w:ilvl w:val="0"/>
          <w:numId w:val="1178"/>
        </w:numPr>
        <w:rPr/>
      </w:pPr>
      <w:r>
        <w:rPr/>
        <w:t>access to defined protocol services.</w:t>
      </w:r>
    </w:p>
    <w:p>
      <w:pPr>
        <w:pStyle w:val="Normal"/>
        <w:rPr/>
      </w:pPr>
      <w:bookmarkStart w:id="391" w:name="demand-and-utility"/>
      <w:r>
        <w:rPr/>
        <w:t>Demand cannot be based solely on expectations of appreciation or emissions paid to attract new buyers.</w:t>
      </w:r>
      <w:bookmarkEnd w:id="391"/>
    </w:p>
    <w:p>
      <w:pPr>
        <w:pStyle w:val="Heading2"/>
        <w:keepNext w:val="true"/>
        <w:keepLines/>
        <w:widowControl/>
        <w:rPr/>
      </w:pPr>
      <w:bookmarkStart w:id="392" w:name="__RefHeading___Toc8561_528838595"/>
      <w:bookmarkEnd w:id="392"/>
      <w:r>
        <w:rPr/>
        <w:t>23.8 Treasury and issuance distribution</w:t>
      </w:r>
    </w:p>
    <w:p>
      <w:pPr>
        <w:pStyle w:val="Normal"/>
        <w:rPr/>
      </w:pPr>
      <w:r>
        <w:rPr/>
        <w:t>A tokenised implementation must publish:</w:t>
      </w:r>
    </w:p>
    <w:p>
      <w:pPr>
        <w:pStyle w:val="Compact"/>
        <w:widowControl/>
        <w:numPr>
          <w:ilvl w:val="0"/>
          <w:numId w:val="1179"/>
        </w:numPr>
        <w:rPr/>
      </w:pPr>
      <w:r>
        <w:rPr/>
        <w:t>genesis allocation;</w:t>
      </w:r>
    </w:p>
    <w:p>
      <w:pPr>
        <w:pStyle w:val="Compact"/>
        <w:widowControl/>
        <w:numPr>
          <w:ilvl w:val="0"/>
          <w:numId w:val="1180"/>
        </w:numPr>
        <w:rPr/>
      </w:pPr>
      <w:r>
        <w:rPr/>
        <w:t>treasury and contributor allocations;</w:t>
      </w:r>
    </w:p>
    <w:p>
      <w:pPr>
        <w:pStyle w:val="Compact"/>
        <w:widowControl/>
        <w:numPr>
          <w:ilvl w:val="0"/>
          <w:numId w:val="1181"/>
        </w:numPr>
        <w:rPr/>
      </w:pPr>
      <w:r>
        <w:rPr/>
        <w:t>vesting and transfer restrictions;</w:t>
      </w:r>
    </w:p>
    <w:p>
      <w:pPr>
        <w:pStyle w:val="Compact"/>
        <w:widowControl/>
        <w:numPr>
          <w:ilvl w:val="0"/>
          <w:numId w:val="1182"/>
        </w:numPr>
        <w:rPr/>
      </w:pPr>
      <w:r>
        <w:rPr/>
        <w:t>liquidity provisioning;</w:t>
      </w:r>
    </w:p>
    <w:p>
      <w:pPr>
        <w:pStyle w:val="Compact"/>
        <w:widowControl/>
        <w:numPr>
          <w:ilvl w:val="0"/>
          <w:numId w:val="1183"/>
        </w:numPr>
        <w:rPr/>
      </w:pPr>
      <w:r>
        <w:rPr/>
        <w:t>governance control;</w:t>
      </w:r>
    </w:p>
    <w:p>
      <w:pPr>
        <w:pStyle w:val="Compact"/>
        <w:widowControl/>
        <w:numPr>
          <w:ilvl w:val="0"/>
          <w:numId w:val="1184"/>
        </w:numPr>
        <w:rPr/>
      </w:pPr>
      <w:r>
        <w:rPr/>
        <w:t>fee and revenue flows;</w:t>
      </w:r>
    </w:p>
    <w:p>
      <w:pPr>
        <w:pStyle w:val="Compact"/>
        <w:widowControl/>
        <w:numPr>
          <w:ilvl w:val="0"/>
          <w:numId w:val="1185"/>
        </w:numPr>
        <w:rPr/>
      </w:pPr>
      <w:r>
        <w:rPr/>
        <w:t>treatment of contraction across locked, bridged and staked balances.</w:t>
      </w:r>
    </w:p>
    <w:p>
      <w:pPr>
        <w:pStyle w:val="Normal"/>
        <w:rPr/>
      </w:pPr>
      <w:bookmarkStart w:id="393" w:name="treasury-and-issuance-distribution"/>
      <w:r>
        <w:rPr/>
        <w:t>No allocation may be hidden from circulating and fully diluted supply analysis.</w:t>
      </w:r>
      <w:bookmarkEnd w:id="393"/>
    </w:p>
    <w:p>
      <w:pPr>
        <w:pStyle w:val="Heading2"/>
        <w:keepNext w:val="true"/>
        <w:keepLines/>
        <w:widowControl/>
        <w:rPr/>
      </w:pPr>
      <w:bookmarkStart w:id="394" w:name="__RefHeading___Toc8563_528838595"/>
      <w:bookmarkEnd w:id="394"/>
      <w:r>
        <w:rPr/>
        <w:t>23.9 Activation reversibility</w:t>
      </w:r>
    </w:p>
    <w:p>
      <w:pPr>
        <w:pStyle w:val="Normal"/>
        <w:rPr/>
      </w:pPr>
      <w:bookmarkStart w:id="395" w:name="optional-tokenised-vox"/>
      <w:bookmarkStart w:id="396" w:name="activation-reversibility"/>
      <w:r>
        <w:rPr/>
        <w:t>If confidence, security or market integrity falls below minimum thresholds, new issuance may pause. A pause does not erase existing rights or permit arbitrary confiscation. The DAO must follow pre-defined safe-mode rules.</w:t>
      </w:r>
      <w:bookmarkEnd w:id="395"/>
      <w:bookmarkEnd w:id="396"/>
    </w:p>
    <w:p>
      <w:pPr>
        <w:pStyle w:val="Heading1"/>
        <w:keepNext w:val="true"/>
        <w:keepLines/>
        <w:widowControl/>
        <w:pBdr>
          <w:bottom w:val="single" w:sz="6" w:space="5" w:color="8AB2BF"/>
        </w:pBdr>
        <w:jc w:val="start"/>
        <w:rPr/>
      </w:pPr>
      <w:bookmarkStart w:id="397" w:name="__RefHeading___Toc8565_528838595"/>
      <w:bookmarkEnd w:id="397"/>
      <w:r>
        <w:rPr/>
        <w:t>24. VOX Digital Forex Market (V-FOREX)</w:t>
      </w:r>
    </w:p>
    <w:p>
      <w:pPr>
        <w:pStyle w:val="Heading2"/>
        <w:keepNext w:val="true"/>
        <w:keepLines/>
        <w:widowControl/>
        <w:rPr/>
      </w:pPr>
      <w:bookmarkStart w:id="398" w:name="__RefHeading___Toc8567_528838595"/>
      <w:bookmarkEnd w:id="398"/>
      <w:r>
        <w:rPr/>
        <w:t>24.1 Purpose</w:t>
      </w:r>
    </w:p>
    <w:p>
      <w:pPr>
        <w:pStyle w:val="Normal"/>
        <w:rPr/>
      </w:pPr>
      <w:r>
        <w:rPr/>
        <w:t>V-FOREX provides cross-network economic comparison. Its primary output is a deterministic reference ratio derived from standardised VTS:</w:t>
      </w:r>
    </w:p>
    <w:p>
      <w:pPr>
        <w:pStyle w:val="BodyText"/>
        <w:keepLines/>
        <w:spacing w:before="80" w:after="160"/>
        <w:jc w:val="center"/>
        <w:rPr/>
      </w:pPr>
      <w:r>
        <w:rPr/>
        <w:drawing>
          <wp:inline distT="0" distB="0" distL="0" distR="0">
            <wp:extent cx="1508760" cy="513080"/>
            <wp:effectExtent l="0" t="0" r="0" b="0"/>
            <wp:docPr id="42" name="Picture 42" descr="R_{\mathrm{ref}}\!\left(\frac{A}{B}\right)=\frac{VTS_A}{VTS_B}"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R_{\mathrm{ref}}\!\left(\frac{A}{B}\right)=\frac{VTS_A}{VTS_B}" title="Equation"/>
                    <pic:cNvPicPr>
                      <a:picLocks noChangeAspect="1" noChangeArrowheads="1"/>
                    </pic:cNvPicPr>
                  </pic:nvPicPr>
                  <pic:blipFill>
                    <a:blip r:embed="rId43"/>
                    <a:stretch>
                      <a:fillRect/>
                    </a:stretch>
                  </pic:blipFill>
                  <pic:spPr bwMode="auto">
                    <a:xfrm>
                      <a:off x="0" y="0"/>
                      <a:ext cx="1508760" cy="513080"/>
                    </a:xfrm>
                    <a:prstGeom prst="rect">
                      <a:avLst/>
                    </a:prstGeom>
                    <a:noFill/>
                  </pic:spPr>
                </pic:pic>
              </a:graphicData>
            </a:graphic>
          </wp:inline>
        </w:drawing>
      </w:r>
    </w:p>
    <w:p>
      <w:pPr>
        <w:pStyle w:val="Normal"/>
        <w:rPr/>
      </w:pPr>
      <w:r>
        <w:rPr/>
        <w:t>If VTS_A = 1.20 and VTS_B = 0.80, the reference ratio is:</w:t>
      </w:r>
    </w:p>
    <w:p>
      <w:pPr>
        <w:pStyle w:val="BodyText"/>
        <w:keepLines/>
        <w:spacing w:before="80" w:after="160"/>
        <w:jc w:val="center"/>
        <w:rPr/>
      </w:pPr>
      <w:r>
        <w:rPr/>
        <w:drawing>
          <wp:inline distT="0" distB="0" distL="0" distR="0">
            <wp:extent cx="1508760" cy="423545"/>
            <wp:effectExtent l="0" t="0" r="0" b="0"/>
            <wp:docPr id="43" name="Picture 43" descr="R_{\mathrm{ref}}\!\left(\frac{A}{B}\right)=1.5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R_{\mathrm{ref}}\!\left(\frac{A}{B}\right)=1.50" title="Equation"/>
                    <pic:cNvPicPr>
                      <a:picLocks noChangeAspect="1" noChangeArrowheads="1"/>
                    </pic:cNvPicPr>
                  </pic:nvPicPr>
                  <pic:blipFill>
                    <a:blip r:embed="rId44"/>
                    <a:stretch>
                      <a:fillRect/>
                    </a:stretch>
                  </pic:blipFill>
                  <pic:spPr bwMode="auto">
                    <a:xfrm>
                      <a:off x="0" y="0"/>
                      <a:ext cx="1508760" cy="423545"/>
                    </a:xfrm>
                    <a:prstGeom prst="rect">
                      <a:avLst/>
                    </a:prstGeom>
                    <a:noFill/>
                  </pic:spPr>
                </pic:pic>
              </a:graphicData>
            </a:graphic>
          </wp:inline>
        </w:drawing>
      </w:r>
    </w:p>
    <w:p>
      <w:pPr>
        <w:pStyle w:val="Normal"/>
        <w:rPr/>
      </w:pPr>
      <w:bookmarkStart w:id="399" w:name="purpose-11"/>
      <w:r>
        <w:rPr/>
        <w:t>This means network A has 1.5 times the measured economic performance of network B under the current methodology. It does not automatically mean one transferable VOX-A token must trade for exactly 1.5 VOX-B tokens.</w:t>
      </w:r>
      <w:bookmarkEnd w:id="399"/>
    </w:p>
    <w:p>
      <w:pPr>
        <w:pStyle w:val="Heading2"/>
        <w:keepNext w:val="true"/>
        <w:keepLines/>
        <w:widowControl/>
        <w:rPr/>
      </w:pPr>
      <w:bookmarkStart w:id="400" w:name="__RefHeading___Toc8569_528838595"/>
      <w:bookmarkEnd w:id="400"/>
      <w:r>
        <w:rPr/>
        <w:t>24.2 Reference rate and market rate</w:t>
      </w:r>
    </w:p>
    <w:p>
      <w:pPr>
        <w:pStyle w:val="Normal"/>
        <w:rPr/>
      </w:pPr>
      <w:r>
        <w:rPr/>
        <w:t>V-FOREX distinguishes:</w:t>
      </w:r>
    </w:p>
    <w:p>
      <w:pPr>
        <w:pStyle w:val="Compact"/>
        <w:widowControl/>
        <w:numPr>
          <w:ilvl w:val="0"/>
          <w:numId w:val="1186"/>
        </w:numPr>
        <w:rPr/>
      </w:pPr>
      <w:r>
        <w:rPr>
          <w:b/>
          <w:bCs/>
        </w:rPr>
        <w:t>reference rate</w:t>
      </w:r>
      <w:r>
        <w:rPr/>
        <w:t xml:space="preserve"> — calculated from VTS;</w:t>
      </w:r>
    </w:p>
    <w:p>
      <w:pPr>
        <w:pStyle w:val="Compact"/>
        <w:widowControl/>
        <w:numPr>
          <w:ilvl w:val="0"/>
          <w:numId w:val="1187"/>
        </w:numPr>
        <w:rPr/>
      </w:pPr>
      <w:r>
        <w:rPr>
          <w:b/>
          <w:bCs/>
        </w:rPr>
        <w:t>market rate</w:t>
      </w:r>
      <w:r>
        <w:rPr/>
        <w:t xml:space="preserve"> — executable price in a real market;</w:t>
      </w:r>
    </w:p>
    <w:p>
      <w:pPr>
        <w:pStyle w:val="Compact"/>
        <w:widowControl/>
        <w:numPr>
          <w:ilvl w:val="0"/>
          <w:numId w:val="1188"/>
        </w:numPr>
        <w:rPr/>
      </w:pPr>
      <w:r>
        <w:rPr>
          <w:b/>
          <w:bCs/>
        </w:rPr>
        <w:t>premium or discount</w:t>
      </w:r>
      <w:r>
        <w:rPr/>
        <w:t xml:space="preserve"> — divergence between the two.</w:t>
      </w:r>
    </w:p>
    <w:p>
      <w:pPr>
        <w:pStyle w:val="Normal"/>
        <w:keepLines/>
        <w:spacing w:before="80" w:after="160"/>
        <w:jc w:val="center"/>
        <w:rPr/>
      </w:pPr>
      <w:r>
        <w:rPr/>
        <w:drawing>
          <wp:inline distT="0" distB="0" distL="0" distR="0">
            <wp:extent cx="3785870" cy="498475"/>
            <wp:effectExtent l="0" t="0" r="0" b="0"/>
            <wp:docPr id="44" name="Picture 44" descr="\mathrm{Premium/Discount}_{A/B}=\frac{R_{\mathrm{market}}(A/B)}{R_{\mathrm{ref}}(A/B)}-1"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mathrm{Premium/Discount}_{A/B}=\frac{R_{\mathrm{market}}(A/B)}{R_{\mathrm{ref}}(A/B)}-1" title="Equation"/>
                    <pic:cNvPicPr>
                      <a:picLocks noChangeAspect="1" noChangeArrowheads="1"/>
                    </pic:cNvPicPr>
                  </pic:nvPicPr>
                  <pic:blipFill>
                    <a:blip r:embed="rId45"/>
                    <a:stretch>
                      <a:fillRect/>
                    </a:stretch>
                  </pic:blipFill>
                  <pic:spPr bwMode="auto">
                    <a:xfrm>
                      <a:off x="0" y="0"/>
                      <a:ext cx="3785870" cy="498475"/>
                    </a:xfrm>
                    <a:prstGeom prst="rect">
                      <a:avLst/>
                    </a:prstGeom>
                    <a:noFill/>
                  </pic:spPr>
                </pic:pic>
              </a:graphicData>
            </a:graphic>
          </wp:inline>
        </w:drawing>
      </w:r>
    </w:p>
    <w:p>
      <w:pPr>
        <w:pStyle w:val="Normal"/>
        <w:rPr/>
      </w:pPr>
      <w:bookmarkStart w:id="401" w:name="reference-rate-and-market-rate"/>
      <w:r>
        <w:rPr/>
        <w:t>A positive value indicates that VOX-A trades above the VTS reference relative to VOX-B. A negative value indicates a discount.</w:t>
      </w:r>
      <w:bookmarkEnd w:id="401"/>
    </w:p>
    <w:p>
      <w:pPr>
        <w:pStyle w:val="Heading2"/>
        <w:keepNext w:val="true"/>
        <w:keepLines/>
        <w:widowControl/>
        <w:rPr/>
      </w:pPr>
      <w:bookmarkStart w:id="402" w:name="__RefHeading___Toc8571_528838595"/>
      <w:bookmarkEnd w:id="402"/>
      <w:r>
        <w:rPr/>
        <w:t>24.3 Why divergence can persist</w:t>
      </w:r>
    </w:p>
    <w:p>
      <w:pPr>
        <w:pStyle w:val="Normal"/>
        <w:rPr/>
      </w:pPr>
      <w:r>
        <w:rPr/>
        <w:t>Divergence is not automatically an arbitrage. It may persist because of:</w:t>
      </w:r>
    </w:p>
    <w:p>
      <w:pPr>
        <w:pStyle w:val="Compact"/>
        <w:widowControl/>
        <w:numPr>
          <w:ilvl w:val="0"/>
          <w:numId w:val="1189"/>
        </w:numPr>
        <w:rPr/>
      </w:pPr>
      <w:r>
        <w:rPr/>
        <w:t>different token rights or utility;</w:t>
      </w:r>
    </w:p>
    <w:p>
      <w:pPr>
        <w:pStyle w:val="Compact"/>
        <w:widowControl/>
        <w:numPr>
          <w:ilvl w:val="0"/>
          <w:numId w:val="1190"/>
        </w:numPr>
        <w:rPr/>
      </w:pPr>
      <w:r>
        <w:rPr/>
        <w:t>supply and free-float differences;</w:t>
      </w:r>
    </w:p>
    <w:p>
      <w:pPr>
        <w:pStyle w:val="Compact"/>
        <w:widowControl/>
        <w:numPr>
          <w:ilvl w:val="0"/>
          <w:numId w:val="1191"/>
        </w:numPr>
        <w:rPr/>
      </w:pPr>
      <w:r>
        <w:rPr/>
        <w:t>bridge and settlement risk;</w:t>
      </w:r>
    </w:p>
    <w:p>
      <w:pPr>
        <w:pStyle w:val="Compact"/>
        <w:widowControl/>
        <w:numPr>
          <w:ilvl w:val="0"/>
          <w:numId w:val="1192"/>
        </w:numPr>
        <w:rPr/>
      </w:pPr>
      <w:r>
        <w:rPr/>
        <w:t>transaction costs;</w:t>
      </w:r>
    </w:p>
    <w:p>
      <w:pPr>
        <w:pStyle w:val="Compact"/>
        <w:widowControl/>
        <w:numPr>
          <w:ilvl w:val="0"/>
          <w:numId w:val="1193"/>
        </w:numPr>
        <w:rPr/>
      </w:pPr>
      <w:r>
        <w:rPr/>
        <w:t>market access and regulation;</w:t>
      </w:r>
    </w:p>
    <w:p>
      <w:pPr>
        <w:pStyle w:val="Compact"/>
        <w:widowControl/>
        <w:numPr>
          <w:ilvl w:val="0"/>
          <w:numId w:val="1194"/>
        </w:numPr>
        <w:rPr/>
      </w:pPr>
      <w:r>
        <w:rPr/>
        <w:t>liquidity constraints;</w:t>
      </w:r>
    </w:p>
    <w:p>
      <w:pPr>
        <w:pStyle w:val="Compact"/>
        <w:widowControl/>
        <w:numPr>
          <w:ilvl w:val="0"/>
          <w:numId w:val="1195"/>
        </w:numPr>
        <w:rPr/>
      </w:pPr>
      <w:r>
        <w:rPr/>
        <w:t>expectations about future VTS;</w:t>
      </w:r>
    </w:p>
    <w:p>
      <w:pPr>
        <w:pStyle w:val="Compact"/>
        <w:widowControl/>
        <w:numPr>
          <w:ilvl w:val="0"/>
          <w:numId w:val="1196"/>
        </w:numPr>
        <w:rPr/>
      </w:pPr>
      <w:r>
        <w:rPr/>
        <w:t>governance and implementation risk.</w:t>
      </w:r>
    </w:p>
    <w:p>
      <w:pPr>
        <w:pStyle w:val="Normal"/>
        <w:rPr/>
      </w:pPr>
      <w:bookmarkStart w:id="403" w:name="why-divergence-can-persist"/>
      <w:r>
        <w:rPr/>
        <w:t>Arbitrage is risk-free only where a reliable conversion or redemption path enforces the relationship. V-FOREX does not claim such a path by default.</w:t>
      </w:r>
      <w:bookmarkEnd w:id="403"/>
    </w:p>
    <w:p>
      <w:pPr>
        <w:pStyle w:val="Heading2"/>
        <w:keepNext w:val="true"/>
        <w:keepLines/>
        <w:widowControl/>
        <w:rPr/>
      </w:pPr>
      <w:bookmarkStart w:id="404" w:name="__RefHeading___Toc8573_528838595"/>
      <w:bookmarkEnd w:id="404"/>
      <w:r>
        <w:rPr/>
        <w:t>24.4 Index-only V-FOREX</w:t>
      </w:r>
    </w:p>
    <w:p>
      <w:pPr>
        <w:pStyle w:val="Normal"/>
        <w:rPr/>
      </w:pPr>
      <w:r>
        <w:rPr/>
        <w:t>The initial implementation should operate as an index layer. VoxUI publishes reference pairs and historical relative performance without requiring tradable assets.</w:t>
      </w:r>
    </w:p>
    <w:p>
      <w:pPr>
        <w:pStyle w:val="BodyText"/>
        <w:widowControl/>
        <w:rPr/>
      </w:pPr>
      <w:r>
        <w:rPr/>
        <w:t>Benefits include:</w:t>
      </w:r>
    </w:p>
    <w:p>
      <w:pPr>
        <w:pStyle w:val="Compact"/>
        <w:widowControl/>
        <w:numPr>
          <w:ilvl w:val="0"/>
          <w:numId w:val="1197"/>
        </w:numPr>
        <w:rPr/>
      </w:pPr>
      <w:r>
        <w:rPr/>
        <w:t>immediate cross-chain comparison;</w:t>
      </w:r>
    </w:p>
    <w:p>
      <w:pPr>
        <w:pStyle w:val="Compact"/>
        <w:widowControl/>
        <w:numPr>
          <w:ilvl w:val="0"/>
          <w:numId w:val="1198"/>
        </w:numPr>
        <w:rPr/>
      </w:pPr>
      <w:r>
        <w:rPr/>
        <w:t>no bridge or liquidity risk;</w:t>
      </w:r>
    </w:p>
    <w:p>
      <w:pPr>
        <w:pStyle w:val="Compact"/>
        <w:widowControl/>
        <w:numPr>
          <w:ilvl w:val="0"/>
          <w:numId w:val="1199"/>
        </w:numPr>
        <w:rPr/>
      </w:pPr>
      <w:r>
        <w:rPr/>
        <w:t>transparent methodology testing;</w:t>
      </w:r>
    </w:p>
    <w:p>
      <w:pPr>
        <w:pStyle w:val="Compact"/>
        <w:widowControl/>
        <w:numPr>
          <w:ilvl w:val="0"/>
          <w:numId w:val="1200"/>
        </w:numPr>
        <w:rPr/>
      </w:pPr>
      <w:r>
        <w:rPr/>
        <w:t>ability to backtest pair behaviour;</w:t>
      </w:r>
    </w:p>
    <w:p>
      <w:pPr>
        <w:pStyle w:val="Compact"/>
        <w:widowControl/>
        <w:numPr>
          <w:ilvl w:val="0"/>
          <w:numId w:val="1201"/>
        </w:numPr>
        <w:rPr/>
      </w:pPr>
      <w:bookmarkStart w:id="405" w:name="index-only-v-forex"/>
      <w:r>
        <w:rPr/>
        <w:t>separation of measurement research from token speculation.</w:t>
      </w:r>
      <w:bookmarkEnd w:id="405"/>
    </w:p>
    <w:p>
      <w:pPr>
        <w:pStyle w:val="Heading2"/>
        <w:keepNext w:val="true"/>
        <w:keepLines/>
        <w:widowControl/>
        <w:rPr/>
      </w:pPr>
      <w:bookmarkStart w:id="406" w:name="__RefHeading___Toc8575_528838595"/>
      <w:bookmarkEnd w:id="406"/>
      <w:r>
        <w:rPr/>
        <w:t>24.5 Tradable V-FOREX</w:t>
      </w:r>
    </w:p>
    <w:p>
      <w:pPr>
        <w:pStyle w:val="Normal"/>
        <w:rPr/>
      </w:pPr>
      <w:r>
        <w:rPr/>
        <w:t>A tradable implementation requires additional safeguards:</w:t>
      </w:r>
    </w:p>
    <w:p>
      <w:pPr>
        <w:pStyle w:val="Compact"/>
        <w:widowControl/>
        <w:numPr>
          <w:ilvl w:val="0"/>
          <w:numId w:val="1202"/>
        </w:numPr>
        <w:rPr/>
      </w:pPr>
      <w:r>
        <w:rPr/>
        <w:t>sufficient two-sided liquidity;</w:t>
      </w:r>
    </w:p>
    <w:p>
      <w:pPr>
        <w:pStyle w:val="Compact"/>
        <w:widowControl/>
        <w:numPr>
          <w:ilvl w:val="0"/>
          <w:numId w:val="1203"/>
        </w:numPr>
        <w:rPr/>
      </w:pPr>
      <w:r>
        <w:rPr/>
        <w:t>market-maker concentration limits;</w:t>
      </w:r>
    </w:p>
    <w:p>
      <w:pPr>
        <w:pStyle w:val="Compact"/>
        <w:widowControl/>
        <w:numPr>
          <w:ilvl w:val="0"/>
          <w:numId w:val="1204"/>
        </w:numPr>
        <w:rPr/>
      </w:pPr>
      <w:r>
        <w:rPr/>
        <w:t>transparent pool and routing design;</w:t>
      </w:r>
    </w:p>
    <w:p>
      <w:pPr>
        <w:pStyle w:val="Compact"/>
        <w:widowControl/>
        <w:numPr>
          <w:ilvl w:val="0"/>
          <w:numId w:val="1205"/>
        </w:numPr>
        <w:rPr/>
      </w:pPr>
      <w:r>
        <w:rPr/>
        <w:t>manipulation surveillance;</w:t>
      </w:r>
    </w:p>
    <w:p>
      <w:pPr>
        <w:pStyle w:val="Compact"/>
        <w:widowControl/>
        <w:numPr>
          <w:ilvl w:val="0"/>
          <w:numId w:val="1206"/>
        </w:numPr>
        <w:rPr/>
      </w:pPr>
      <w:r>
        <w:rPr/>
        <w:t>circuit breakers;</w:t>
      </w:r>
    </w:p>
    <w:p>
      <w:pPr>
        <w:pStyle w:val="Compact"/>
        <w:widowControl/>
        <w:numPr>
          <w:ilvl w:val="0"/>
          <w:numId w:val="1207"/>
        </w:numPr>
        <w:rPr/>
      </w:pPr>
      <w:r>
        <w:rPr/>
        <w:t>bridge and message verification;</w:t>
      </w:r>
    </w:p>
    <w:p>
      <w:pPr>
        <w:pStyle w:val="Compact"/>
        <w:widowControl/>
        <w:numPr>
          <w:ilvl w:val="0"/>
          <w:numId w:val="1208"/>
        </w:numPr>
        <w:rPr/>
      </w:pPr>
      <w:r>
        <w:rPr/>
        <w:t>oracle-failure handling;</w:t>
      </w:r>
    </w:p>
    <w:p>
      <w:pPr>
        <w:pStyle w:val="Compact"/>
        <w:widowControl/>
        <w:numPr>
          <w:ilvl w:val="0"/>
          <w:numId w:val="1209"/>
        </w:numPr>
        <w:rPr/>
      </w:pPr>
      <w:r>
        <w:rPr/>
        <w:t>liquidation and collateral parameters;</w:t>
      </w:r>
    </w:p>
    <w:p>
      <w:pPr>
        <w:pStyle w:val="Compact"/>
        <w:widowControl/>
        <w:numPr>
          <w:ilvl w:val="0"/>
          <w:numId w:val="1210"/>
        </w:numPr>
        <w:rPr/>
      </w:pPr>
      <w:bookmarkStart w:id="407" w:name="tradable-v-forex"/>
      <w:r>
        <w:rPr/>
        <w:t>legal review of market structure.</w:t>
      </w:r>
      <w:bookmarkEnd w:id="407"/>
    </w:p>
    <w:p>
      <w:pPr>
        <w:pStyle w:val="Heading2"/>
        <w:keepNext w:val="true"/>
        <w:keepLines/>
        <w:widowControl/>
        <w:rPr/>
      </w:pPr>
      <w:bookmarkStart w:id="408" w:name="__RefHeading___Toc8577_528838595"/>
      <w:bookmarkEnd w:id="408"/>
      <w:r>
        <w:rPr/>
        <w:t>24.6 Pair construction</w:t>
      </w:r>
    </w:p>
    <w:p>
      <w:pPr>
        <w:pStyle w:val="Normal"/>
        <w:rPr/>
      </w:pPr>
      <w:r>
        <w:rPr/>
        <w:t>Every pair uses the same convention:</w:t>
      </w:r>
    </w:p>
    <w:p>
      <w:pPr>
        <w:pStyle w:val="BodyText"/>
        <w:keepLines/>
        <w:spacing w:before="80" w:after="160"/>
        <w:jc w:val="center"/>
        <w:rPr/>
      </w:pPr>
      <w:r>
        <w:rPr/>
        <w:drawing>
          <wp:inline distT="0" distB="0" distL="0" distR="0">
            <wp:extent cx="1949450" cy="504825"/>
            <wp:effectExtent l="0" t="0" r="0" b="0"/>
            <wp:docPr id="45" name="Picture 45" descr="R_{\mathrm{ref}}\!\left(\frac{\mathrm{Base}}{\mathrm{Quote}}\right)=\frac{VTS_{\mathrm{Base}}}{VTS_{\mathrm{Quote}}}"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R_{\mathrm{ref}}\!\left(\frac{\mathrm{Base}}{\mathrm{Quote}}\right)=\frac{VTS_{\mathrm{Base}}}{VTS_{\mathrm{Quote}}}" title="Equation"/>
                    <pic:cNvPicPr>
                      <a:picLocks noChangeAspect="1" noChangeArrowheads="1"/>
                    </pic:cNvPicPr>
                  </pic:nvPicPr>
                  <pic:blipFill>
                    <a:blip r:embed="rId46"/>
                    <a:stretch>
                      <a:fillRect/>
                    </a:stretch>
                  </pic:blipFill>
                  <pic:spPr bwMode="auto">
                    <a:xfrm>
                      <a:off x="0" y="0"/>
                      <a:ext cx="1949450" cy="504825"/>
                    </a:xfrm>
                    <a:prstGeom prst="rect">
                      <a:avLst/>
                    </a:prstGeom>
                    <a:noFill/>
                  </pic:spPr>
                </pic:pic>
              </a:graphicData>
            </a:graphic>
          </wp:inline>
        </w:drawing>
      </w:r>
    </w:p>
    <w:p>
      <w:pPr>
        <w:pStyle w:val="Normal"/>
        <w:rPr/>
      </w:pPr>
      <w:bookmarkStart w:id="409" w:name="pair-construction"/>
      <w:r>
        <w:rPr/>
        <w:t>The timestamp, methodology version, ERU version and confidence of both networks are part of the quote. A pair inherits the lower of the two VCS values unless the pair construction introduces additional uncertainty.</w:t>
      </w:r>
      <w:bookmarkEnd w:id="409"/>
    </w:p>
    <w:p>
      <w:pPr>
        <w:pStyle w:val="Heading2"/>
        <w:keepNext w:val="true"/>
        <w:keepLines/>
        <w:widowControl/>
        <w:rPr/>
      </w:pPr>
      <w:bookmarkStart w:id="410" w:name="__RefHeading___Toc8579_528838595"/>
      <w:bookmarkEnd w:id="410"/>
      <w:r>
        <w:rPr/>
        <w:t>24.7 Updating and stale rates</w:t>
      </w:r>
    </w:p>
    <w:p>
      <w:pPr>
        <w:pStyle w:val="Normal"/>
        <w:rPr/>
      </w:pPr>
      <w:bookmarkStart w:id="411" w:name="updating-and-stale-rates"/>
      <w:r>
        <w:rPr/>
        <w:t>Reference rates update after validated VTS publication. If one network’s score is suspended or stale, the pair is flagged. It may continue to display the last valid reference with timestamp, but it cannot appear as current.</w:t>
      </w:r>
      <w:bookmarkEnd w:id="411"/>
    </w:p>
    <w:p>
      <w:pPr>
        <w:pStyle w:val="Heading2"/>
        <w:keepNext w:val="true"/>
        <w:keepLines/>
        <w:widowControl/>
        <w:rPr/>
      </w:pPr>
      <w:bookmarkStart w:id="412" w:name="__RefHeading___Toc8581_528838595"/>
      <w:bookmarkEnd w:id="412"/>
      <w:r>
        <w:rPr/>
        <w:t>24.8 Long-term research value</w:t>
      </w:r>
    </w:p>
    <w:p>
      <w:pPr>
        <w:pStyle w:val="Normal"/>
        <w:rPr/>
      </w:pPr>
      <w:bookmarkStart w:id="413" w:name="vox-digital-forex-market-v-forex"/>
      <w:bookmarkStart w:id="414" w:name="long-term-research-value"/>
      <w:r>
        <w:rPr/>
        <w:t>V-FOREX creates a new dataset: relative economic-performance histories across networks. Researchers can study whether market prices converge toward, lead or diverge from measured fundamentals, and whether specific indices explain long-term network outcomes.</w:t>
      </w:r>
      <w:bookmarkEnd w:id="413"/>
      <w:bookmarkEnd w:id="414"/>
    </w:p>
    <w:p>
      <w:pPr>
        <w:pStyle w:val="Heading1"/>
        <w:keepNext w:val="true"/>
        <w:keepLines/>
        <w:widowControl/>
        <w:pBdr>
          <w:bottom w:val="single" w:sz="6" w:space="5" w:color="8AB2BF"/>
        </w:pBdr>
        <w:jc w:val="start"/>
        <w:rPr/>
      </w:pPr>
      <w:bookmarkStart w:id="415" w:name="__RefHeading___Toc8583_528838595"/>
      <w:bookmarkEnd w:id="415"/>
      <w:r>
        <w:rPr/>
        <w:t>25. Market, Cross-Chain and Settlement Risks</w:t>
      </w:r>
    </w:p>
    <w:p>
      <w:pPr>
        <w:pStyle w:val="Heading2"/>
        <w:keepNext w:val="true"/>
        <w:keepLines/>
        <w:widowControl/>
        <w:rPr/>
      </w:pPr>
      <w:bookmarkStart w:id="416" w:name="__RefHeading___Toc8585_528838595"/>
      <w:bookmarkEnd w:id="416"/>
      <w:r>
        <w:rPr/>
        <w:t>25.1 Liquidity risk</w:t>
      </w:r>
    </w:p>
    <w:p>
      <w:pPr>
        <w:pStyle w:val="Normal"/>
        <w:rPr/>
      </w:pPr>
      <w:r>
        <w:rPr/>
        <w:t>A reference ratio does not create liquidity. Tradable VOX markets can become fragmented across chains, pools and bridges. Thin liquidity increases slippage, manipulation risk and liquidation instability.</w:t>
      </w:r>
    </w:p>
    <w:p>
      <w:pPr>
        <w:pStyle w:val="BodyText"/>
        <w:widowControl/>
        <w:rPr/>
      </w:pPr>
      <w:bookmarkStart w:id="417" w:name="liquidity-risk"/>
      <w:r>
        <w:rPr/>
        <w:t>Mitigations include minimum depth thresholds, protocol-owned liquidity limits, transparent incentives, multi-venue routing and suspension of high-risk collateral use.</w:t>
      </w:r>
      <w:bookmarkEnd w:id="417"/>
    </w:p>
    <w:p>
      <w:pPr>
        <w:pStyle w:val="Heading2"/>
        <w:keepNext w:val="true"/>
        <w:keepLines/>
        <w:widowControl/>
        <w:rPr/>
      </w:pPr>
      <w:bookmarkStart w:id="418" w:name="__RefHeading___Toc8587_528838595"/>
      <w:bookmarkEnd w:id="418"/>
      <w:r>
        <w:rPr/>
        <w:t>25.2 Bridge risk</w:t>
      </w:r>
    </w:p>
    <w:p>
      <w:pPr>
        <w:pStyle w:val="Normal"/>
        <w:rPr/>
      </w:pPr>
      <w:r>
        <w:rPr/>
        <w:t>Cross-chain VOX representations may rely on lock-and-mint bridges, canonical messaging, light clients, proof systems or third-party validators. Each mechanism creates different trust assumptions.</w:t>
      </w:r>
    </w:p>
    <w:p>
      <w:pPr>
        <w:pStyle w:val="BodyText"/>
        <w:widowControl/>
        <w:rPr/>
      </w:pPr>
      <w:r>
        <w:rPr/>
        <w:t>The framework requires:</w:t>
      </w:r>
    </w:p>
    <w:p>
      <w:pPr>
        <w:pStyle w:val="Compact"/>
        <w:widowControl/>
        <w:numPr>
          <w:ilvl w:val="0"/>
          <w:numId w:val="1211"/>
        </w:numPr>
        <w:rPr/>
      </w:pPr>
      <w:r>
        <w:rPr/>
        <w:t>canonical representation registry;</w:t>
      </w:r>
    </w:p>
    <w:p>
      <w:pPr>
        <w:pStyle w:val="Compact"/>
        <w:widowControl/>
        <w:numPr>
          <w:ilvl w:val="0"/>
          <w:numId w:val="1212"/>
        </w:numPr>
        <w:rPr/>
      </w:pPr>
      <w:r>
        <w:rPr/>
        <w:t>proof of locked and circulating supply;</w:t>
      </w:r>
    </w:p>
    <w:p>
      <w:pPr>
        <w:pStyle w:val="Compact"/>
        <w:widowControl/>
        <w:numPr>
          <w:ilvl w:val="0"/>
          <w:numId w:val="1213"/>
        </w:numPr>
        <w:rPr/>
      </w:pPr>
      <w:r>
        <w:rPr/>
        <w:t>bridge security assessment;</w:t>
      </w:r>
    </w:p>
    <w:p>
      <w:pPr>
        <w:pStyle w:val="Compact"/>
        <w:widowControl/>
        <w:numPr>
          <w:ilvl w:val="0"/>
          <w:numId w:val="1214"/>
        </w:numPr>
        <w:rPr/>
      </w:pPr>
      <w:r>
        <w:rPr/>
        <w:t>limits on unverified wrapped representations;</w:t>
      </w:r>
    </w:p>
    <w:p>
      <w:pPr>
        <w:pStyle w:val="Compact"/>
        <w:widowControl/>
        <w:numPr>
          <w:ilvl w:val="0"/>
          <w:numId w:val="1215"/>
        </w:numPr>
        <w:rPr/>
      </w:pPr>
      <w:r>
        <w:rPr/>
        <w:t>rapid suspension and reconciliation procedures;</w:t>
      </w:r>
    </w:p>
    <w:p>
      <w:pPr>
        <w:pStyle w:val="Compact"/>
        <w:widowControl/>
        <w:numPr>
          <w:ilvl w:val="0"/>
          <w:numId w:val="1216"/>
        </w:numPr>
        <w:rPr/>
      </w:pPr>
      <w:bookmarkStart w:id="419" w:name="bridge-risk"/>
      <w:r>
        <w:rPr/>
        <w:t>avoidance of double counting across chains.</w:t>
      </w:r>
      <w:bookmarkEnd w:id="419"/>
    </w:p>
    <w:p>
      <w:pPr>
        <w:pStyle w:val="Heading2"/>
        <w:keepNext w:val="true"/>
        <w:keepLines/>
        <w:widowControl/>
        <w:rPr/>
      </w:pPr>
      <w:bookmarkStart w:id="420" w:name="__RefHeading___Toc8589_528838595"/>
      <w:bookmarkEnd w:id="420"/>
      <w:r>
        <w:rPr/>
        <w:t>25.3 Oracle and reference risk</w:t>
      </w:r>
    </w:p>
    <w:p>
      <w:pPr>
        <w:pStyle w:val="Normal"/>
        <w:rPr/>
      </w:pPr>
      <w:r>
        <w:rPr/>
        <w:t>If contracts use VTS or V-FOREX rates, they depend on timely and correct publication. A secure design uses multiple signed publishers, on-chain verification where possible, freshness limits, deviation checks and delayed governance-controlled upgrades.</w:t>
      </w:r>
    </w:p>
    <w:p>
      <w:pPr>
        <w:pStyle w:val="BodyText"/>
        <w:widowControl/>
        <w:rPr/>
      </w:pPr>
      <w:bookmarkStart w:id="421" w:name="oracle-and-reference-risk"/>
      <w:r>
        <w:rPr/>
        <w:t>Oracles transport an approved result; they do not privately determine the score.</w:t>
      </w:r>
      <w:bookmarkEnd w:id="421"/>
    </w:p>
    <w:p>
      <w:pPr>
        <w:pStyle w:val="Heading2"/>
        <w:keepNext w:val="true"/>
        <w:keepLines/>
        <w:widowControl/>
        <w:rPr/>
      </w:pPr>
      <w:bookmarkStart w:id="422" w:name="__RefHeading___Toc8591_528838595"/>
      <w:bookmarkEnd w:id="422"/>
      <w:r>
        <w:rPr/>
        <w:t>25.4 Manipulation risk</w:t>
      </w:r>
    </w:p>
    <w:p>
      <w:pPr>
        <w:pStyle w:val="Normal"/>
        <w:rPr/>
      </w:pPr>
      <w:r>
        <w:rPr/>
        <w:t>Attackers may attempt to inflate activity, liquidity, governance participation or adoption before a calculation. Anti-manipulation controls include smoothing, persistence, entity concentration, subsidy adjustment, standard trade simulations, cross-source checks and maximum update rates.</w:t>
      </w:r>
    </w:p>
    <w:p>
      <w:pPr>
        <w:pStyle w:val="BodyText"/>
        <w:widowControl/>
        <w:rPr/>
      </w:pPr>
      <w:bookmarkStart w:id="423" w:name="manipulation-risk"/>
      <w:r>
        <w:rPr/>
        <w:t>Economic security analysis must estimate the cost of manipulating each component relative to the potential gain from VOX issuance or derivative exposure.</w:t>
      </w:r>
      <w:bookmarkEnd w:id="423"/>
    </w:p>
    <w:p>
      <w:pPr>
        <w:pStyle w:val="Heading2"/>
        <w:keepNext w:val="true"/>
        <w:keepLines/>
        <w:widowControl/>
        <w:rPr/>
      </w:pPr>
      <w:bookmarkStart w:id="424" w:name="__RefHeading___Toc8593_528838595"/>
      <w:bookmarkEnd w:id="424"/>
      <w:r>
        <w:rPr/>
        <w:t>25.5 Reflexivity</w:t>
      </w:r>
    </w:p>
    <w:p>
      <w:pPr>
        <w:pStyle w:val="Normal"/>
        <w:rPr/>
      </w:pPr>
      <w:bookmarkStart w:id="425" w:name="reflexivity"/>
      <w:r>
        <w:rPr/>
        <w:t>A successful VOX market could influence the network it measures. Higher VOX liquidity may attract activity, while a declining score may reduce confidence. Edition 3.1 prevents direct circularity by excluding VOX-specific market activity from DLI and PoV for the same network unless it is clearly classified as an external output and capped. Reflexive effects remain a research and risk consideration.</w:t>
      </w:r>
      <w:bookmarkEnd w:id="425"/>
    </w:p>
    <w:p>
      <w:pPr>
        <w:pStyle w:val="Heading2"/>
        <w:keepNext w:val="true"/>
        <w:keepLines/>
        <w:widowControl/>
        <w:rPr/>
      </w:pPr>
      <w:bookmarkStart w:id="426" w:name="__RefHeading___Toc8595_528838595"/>
      <w:bookmarkEnd w:id="426"/>
      <w:r>
        <w:rPr/>
        <w:t>25.6 Governance and parameter risk</w:t>
      </w:r>
    </w:p>
    <w:p>
      <w:pPr>
        <w:pStyle w:val="Normal"/>
        <w:rPr/>
      </w:pPr>
      <w:bookmarkStart w:id="427" w:name="governance-and-parameter-risk"/>
      <w:r>
        <w:rPr/>
        <w:t>Even universal parameters can be harmful if calibrated poorly. Every market-affecting parameter requires simulation across historical stress periods, delayed activation, rollback planning and clear limits on emergency intervention.</w:t>
      </w:r>
      <w:bookmarkEnd w:id="427"/>
    </w:p>
    <w:p>
      <w:pPr>
        <w:pStyle w:val="Heading2"/>
        <w:keepNext w:val="true"/>
        <w:keepLines/>
        <w:widowControl/>
        <w:rPr/>
      </w:pPr>
      <w:bookmarkStart w:id="428" w:name="__RefHeading___Toc8597_528838595"/>
      <w:bookmarkEnd w:id="428"/>
      <w:r>
        <w:rPr/>
        <w:t>25.7 Legal and regulatory risk</w:t>
      </w:r>
    </w:p>
    <w:p>
      <w:pPr>
        <w:pStyle w:val="Normal"/>
        <w:rPr/>
      </w:pPr>
      <w:bookmarkStart w:id="429" w:name="legal-and-regulatory-risk"/>
      <w:r>
        <w:rPr/>
        <w:t>A transferable VOX unit may be treated differently across jurisdictions depending on rights, distribution, governance, marketing and market use. No implementation should proceed without jurisdiction-specific advice. The analytical measurement framework can remain open research even where tokenised implementation is restricted.</w:t>
      </w:r>
      <w:bookmarkEnd w:id="429"/>
    </w:p>
    <w:p>
      <w:pPr>
        <w:pStyle w:val="Heading2"/>
        <w:keepNext w:val="true"/>
        <w:keepLines/>
        <w:widowControl/>
        <w:rPr/>
      </w:pPr>
      <w:bookmarkStart w:id="430" w:name="__RefHeading___Toc8599_528838595"/>
      <w:bookmarkEnd w:id="430"/>
      <w:r>
        <w:rPr/>
        <w:t>25.8 Safe-mode hierarchy</w:t>
      </w:r>
    </w:p>
    <w:p>
      <w:pPr>
        <w:pStyle w:val="Normal"/>
        <w:rPr/>
      </w:pPr>
      <w:r>
        <w:rPr/>
        <w:t>The optional economic layer uses a pre-defined safe-mode hierarchy:</w:t>
      </w:r>
    </w:p>
    <w:p>
      <w:pPr>
        <w:pStyle w:val="Compact"/>
        <w:widowControl/>
        <w:numPr>
          <w:ilvl w:val="0"/>
          <w:numId w:val="1217"/>
        </w:numPr>
        <w:rPr/>
      </w:pPr>
      <w:r>
        <w:rPr/>
        <w:t>flag anomalous data;</w:t>
      </w:r>
    </w:p>
    <w:p>
      <w:pPr>
        <w:pStyle w:val="Compact"/>
        <w:widowControl/>
        <w:numPr>
          <w:ilvl w:val="0"/>
          <w:numId w:val="1218"/>
        </w:numPr>
        <w:rPr/>
      </w:pPr>
      <w:r>
        <w:rPr/>
        <w:t>pause new reference publication if validation fails;</w:t>
      </w:r>
    </w:p>
    <w:p>
      <w:pPr>
        <w:pStyle w:val="Compact"/>
        <w:widowControl/>
        <w:numPr>
          <w:ilvl w:val="0"/>
          <w:numId w:val="1219"/>
        </w:numPr>
        <w:rPr/>
      </w:pPr>
      <w:r>
        <w:rPr/>
        <w:t>freeze new issuance while preserving balances;</w:t>
      </w:r>
    </w:p>
    <w:p>
      <w:pPr>
        <w:pStyle w:val="Compact"/>
        <w:widowControl/>
        <w:numPr>
          <w:ilvl w:val="0"/>
          <w:numId w:val="1220"/>
        </w:numPr>
        <w:rPr/>
      </w:pPr>
      <w:r>
        <w:rPr/>
        <w:t>disable use as collateral or settlement reference;</w:t>
      </w:r>
    </w:p>
    <w:p>
      <w:pPr>
        <w:pStyle w:val="Compact"/>
        <w:widowControl/>
        <w:numPr>
          <w:ilvl w:val="0"/>
          <w:numId w:val="1221"/>
        </w:numPr>
        <w:rPr/>
      </w:pPr>
      <w:r>
        <w:rPr/>
        <w:t>isolate compromised bridges or markets;</w:t>
      </w:r>
    </w:p>
    <w:p>
      <w:pPr>
        <w:pStyle w:val="Compact"/>
        <w:widowControl/>
        <w:numPr>
          <w:ilvl w:val="0"/>
          <w:numId w:val="1222"/>
        </w:numPr>
        <w:rPr/>
      </w:pPr>
      <w:r>
        <w:rPr/>
        <w:t>execute governed recovery and publish a full post-mortem.</w:t>
      </w:r>
    </w:p>
    <w:p>
      <w:pPr>
        <w:pStyle w:val="Normal"/>
        <w:rPr/>
      </w:pPr>
      <w:bookmarkStart w:id="431" w:name="market-cross-chain-and-settlement-risks"/>
      <w:bookmarkStart w:id="432" w:name="safe-mode-hierarchy"/>
      <w:r>
        <w:rPr/>
        <w:t>Safe mode cannot be used to conceal ordinary negative performance.</w:t>
      </w:r>
      <w:bookmarkEnd w:id="431"/>
      <w:bookmarkEnd w:id="432"/>
      <w:r>
        <w:br w:type="page"/>
      </w:r>
    </w:p>
    <w:p>
      <w:pPr>
        <w:pStyle w:val="PartTitle"/>
        <w:spacing w:before="0" w:after="360"/>
        <w:rPr/>
      </w:pPr>
      <w:bookmarkStart w:id="433" w:name="__RefHeading___Toc8601_528838595"/>
      <w:bookmarkStart w:id="434" w:name="Xffcc5006ae7ba53f85831a67d20032d5a4549e9"/>
      <w:bookmarkEnd w:id="433"/>
      <w:r>
        <w:rPr/>
        <w:t>Part VI — Governance, Transparency and Infrastructure</w:t>
      </w:r>
      <w:bookmarkEnd w:id="434"/>
    </w:p>
    <w:p>
      <w:pPr>
        <w:pStyle w:val="Heading1"/>
        <w:keepNext w:val="true"/>
        <w:keepLines/>
        <w:widowControl/>
        <w:pBdr>
          <w:bottom w:val="single" w:sz="6" w:space="5" w:color="8AB2BF"/>
        </w:pBdr>
        <w:jc w:val="start"/>
        <w:rPr/>
      </w:pPr>
      <w:bookmarkStart w:id="435" w:name="__RefHeading___Toc8603_528838595"/>
      <w:bookmarkEnd w:id="435"/>
      <w:r>
        <w:rPr/>
        <w:t>26. The VOX DAO</w:t>
      </w:r>
    </w:p>
    <w:p>
      <w:pPr>
        <w:pStyle w:val="Heading2"/>
        <w:keepNext w:val="true"/>
        <w:keepLines/>
        <w:widowControl/>
        <w:rPr/>
      </w:pPr>
      <w:bookmarkStart w:id="436" w:name="__RefHeading___Toc8605_528838595"/>
      <w:bookmarkEnd w:id="436"/>
      <w:r>
        <w:rPr/>
        <w:t>26.1 Mandate</w:t>
      </w:r>
    </w:p>
    <w:p>
      <w:pPr>
        <w:pStyle w:val="Normal"/>
        <w:rPr/>
      </w:pPr>
      <w:r>
        <w:rPr/>
        <w:t>The VOX DAO governs the universal economic measurement standard. It does not govern the measured networks, and it cannot require a network to modify its protocol. Its mandate is limited to:</w:t>
      </w:r>
    </w:p>
    <w:p>
      <w:pPr>
        <w:pStyle w:val="Compact"/>
        <w:widowControl/>
        <w:numPr>
          <w:ilvl w:val="0"/>
          <w:numId w:val="1223"/>
        </w:numPr>
        <w:rPr/>
      </w:pPr>
      <w:r>
        <w:rPr/>
        <w:t>canonical definitions and metric registry;</w:t>
      </w:r>
    </w:p>
    <w:p>
      <w:pPr>
        <w:pStyle w:val="Compact"/>
        <w:widowControl/>
        <w:numPr>
          <w:ilvl w:val="0"/>
          <w:numId w:val="1224"/>
        </w:numPr>
        <w:rPr/>
      </w:pPr>
      <w:r>
        <w:rPr/>
        <w:t>submetric selection and internal weights;</w:t>
      </w:r>
    </w:p>
    <w:p>
      <w:pPr>
        <w:pStyle w:val="Compact"/>
        <w:widowControl/>
        <w:numPr>
          <w:ilvl w:val="0"/>
          <w:numId w:val="1225"/>
        </w:numPr>
        <w:rPr/>
      </w:pPr>
      <w:r>
        <w:rPr/>
        <w:t>normalisation and benchmark versions;</w:t>
      </w:r>
    </w:p>
    <w:p>
      <w:pPr>
        <w:pStyle w:val="Compact"/>
        <w:widowControl/>
        <w:numPr>
          <w:ilvl w:val="0"/>
          <w:numId w:val="1226"/>
        </w:numPr>
        <w:rPr/>
      </w:pPr>
      <w:r>
        <w:rPr/>
        <w:t>source standards and adapter certification;</w:t>
      </w:r>
    </w:p>
    <w:p>
      <w:pPr>
        <w:pStyle w:val="Compact"/>
        <w:widowControl/>
        <w:numPr>
          <w:ilvl w:val="0"/>
          <w:numId w:val="1227"/>
        </w:numPr>
        <w:rPr/>
      </w:pPr>
      <w:r>
        <w:rPr/>
        <w:t>confidence and publication policy;</w:t>
      </w:r>
    </w:p>
    <w:p>
      <w:pPr>
        <w:pStyle w:val="Compact"/>
        <w:widowControl/>
        <w:numPr>
          <w:ilvl w:val="0"/>
          <w:numId w:val="1228"/>
        </w:numPr>
        <w:rPr/>
      </w:pPr>
      <w:r>
        <w:rPr/>
        <w:t>ERU methodology;</w:t>
      </w:r>
    </w:p>
    <w:p>
      <w:pPr>
        <w:pStyle w:val="Compact"/>
        <w:widowControl/>
        <w:numPr>
          <w:ilvl w:val="0"/>
          <w:numId w:val="1229"/>
        </w:numPr>
        <w:rPr/>
      </w:pPr>
      <w:r>
        <w:rPr/>
        <w:t>dispute and revision processes;</w:t>
      </w:r>
    </w:p>
    <w:p>
      <w:pPr>
        <w:pStyle w:val="Compact"/>
        <w:widowControl/>
        <w:numPr>
          <w:ilvl w:val="0"/>
          <w:numId w:val="1230"/>
        </w:numPr>
        <w:rPr/>
      </w:pPr>
      <w:r>
        <w:rPr/>
        <w:t>VoxUI and public API standards;</w:t>
      </w:r>
    </w:p>
    <w:p>
      <w:pPr>
        <w:pStyle w:val="Compact"/>
        <w:widowControl/>
        <w:numPr>
          <w:ilvl w:val="0"/>
          <w:numId w:val="1231"/>
        </w:numPr>
        <w:rPr/>
      </w:pPr>
      <w:r>
        <w:rPr/>
        <w:t>optional VOX and V-FOREX implementation parameters;</w:t>
      </w:r>
    </w:p>
    <w:p>
      <w:pPr>
        <w:pStyle w:val="Compact"/>
        <w:widowControl/>
        <w:numPr>
          <w:ilvl w:val="0"/>
          <w:numId w:val="1232"/>
        </w:numPr>
        <w:rPr/>
      </w:pPr>
      <w:bookmarkStart w:id="437" w:name="mandate"/>
      <w:r>
        <w:rPr/>
        <w:t>treasury funding for research, audits and public infrastructure.</w:t>
      </w:r>
      <w:bookmarkEnd w:id="437"/>
    </w:p>
    <w:p>
      <w:pPr>
        <w:pStyle w:val="Heading2"/>
        <w:keepNext w:val="true"/>
        <w:keepLines/>
        <w:widowControl/>
        <w:rPr/>
      </w:pPr>
      <w:bookmarkStart w:id="438" w:name="__RefHeading___Toc8607_528838595"/>
      <w:bookmarkEnd w:id="438"/>
      <w:r>
        <w:rPr/>
        <w:t>26.2 Constitutional restrictions</w:t>
      </w:r>
    </w:p>
    <w:p>
      <w:pPr>
        <w:pStyle w:val="Normal"/>
        <w:rPr/>
      </w:pPr>
      <w:r>
        <w:rPr/>
        <w:t>The DAO cannot, under Edition 3.1:</w:t>
      </w:r>
    </w:p>
    <w:p>
      <w:pPr>
        <w:pStyle w:val="Compact"/>
        <w:widowControl/>
        <w:numPr>
          <w:ilvl w:val="0"/>
          <w:numId w:val="1233"/>
        </w:numPr>
        <w:rPr/>
      </w:pPr>
      <w:r>
        <w:rPr/>
        <w:t>change the equal weighting of the six parent VTS indices;</w:t>
      </w:r>
    </w:p>
    <w:p>
      <w:pPr>
        <w:pStyle w:val="Compact"/>
        <w:widowControl/>
        <w:numPr>
          <w:ilvl w:val="0"/>
          <w:numId w:val="1234"/>
        </w:numPr>
        <w:rPr/>
      </w:pPr>
      <w:r>
        <w:rPr/>
        <w:t>remove a parent index from one network while retaining it for another;</w:t>
      </w:r>
    </w:p>
    <w:p>
      <w:pPr>
        <w:pStyle w:val="Compact"/>
        <w:widowControl/>
        <w:numPr>
          <w:ilvl w:val="0"/>
          <w:numId w:val="1235"/>
        </w:numPr>
        <w:rPr/>
      </w:pPr>
      <w:r>
        <w:rPr/>
        <w:t>create a private calculation method;</w:t>
      </w:r>
    </w:p>
    <w:p>
      <w:pPr>
        <w:pStyle w:val="Compact"/>
        <w:widowControl/>
        <w:numPr>
          <w:ilvl w:val="0"/>
          <w:numId w:val="1236"/>
        </w:numPr>
        <w:rPr/>
      </w:pPr>
      <w:r>
        <w:rPr/>
        <w:t>rewrite historical scores without preserving prior versions;</w:t>
      </w:r>
    </w:p>
    <w:p>
      <w:pPr>
        <w:pStyle w:val="Compact"/>
        <w:widowControl/>
        <w:numPr>
          <w:ilvl w:val="0"/>
          <w:numId w:val="1237"/>
        </w:numPr>
        <w:rPr/>
      </w:pPr>
      <w:r>
        <w:rPr/>
        <w:t>approve a chain-specific supply cap or favourable VOX parameter;</w:t>
      </w:r>
    </w:p>
    <w:p>
      <w:pPr>
        <w:pStyle w:val="Compact"/>
        <w:widowControl/>
        <w:numPr>
          <w:ilvl w:val="0"/>
          <w:numId w:val="1238"/>
        </w:numPr>
        <w:rPr/>
      </w:pPr>
      <w:r>
        <w:rPr/>
        <w:t>hide conflicts of interest or paid data arrangements;</w:t>
      </w:r>
    </w:p>
    <w:p>
      <w:pPr>
        <w:pStyle w:val="Compact"/>
        <w:widowControl/>
        <w:numPr>
          <w:ilvl w:val="0"/>
          <w:numId w:val="1239"/>
        </w:numPr>
        <w:rPr/>
      </w:pPr>
      <w:r>
        <w:rPr/>
        <w:t>suppress a valid negative result for commercial or political reasons;</w:t>
      </w:r>
    </w:p>
    <w:p>
      <w:pPr>
        <w:pStyle w:val="Compact"/>
        <w:widowControl/>
        <w:numPr>
          <w:ilvl w:val="0"/>
          <w:numId w:val="1240"/>
        </w:numPr>
        <w:rPr/>
      </w:pPr>
      <w:r>
        <w:rPr/>
        <w:t>authorise token activation without the published safety thresholds.</w:t>
      </w:r>
    </w:p>
    <w:p>
      <w:pPr>
        <w:pStyle w:val="Normal"/>
        <w:rPr/>
      </w:pPr>
      <w:bookmarkStart w:id="439" w:name="constitutional-restrictions"/>
      <w:r>
        <w:rPr/>
        <w:t>A proposal that conflicts with these restrictions requires publication of a new constitutional edition, not an ordinary vote.</w:t>
      </w:r>
      <w:bookmarkEnd w:id="439"/>
    </w:p>
    <w:p>
      <w:pPr>
        <w:pStyle w:val="Heading2"/>
        <w:keepNext w:val="true"/>
        <w:keepLines/>
        <w:widowControl/>
        <w:rPr/>
      </w:pPr>
      <w:bookmarkStart w:id="440" w:name="__RefHeading___Toc8609_528838595"/>
      <w:bookmarkEnd w:id="440"/>
      <w:r>
        <w:rPr/>
        <w:t>26.3 Governance objects</w:t>
      </w:r>
    </w:p>
    <w:p>
      <w:pPr>
        <w:pStyle w:val="Normal"/>
        <w:rPr/>
      </w:pPr>
      <w:r>
        <w:rPr/>
        <w:t>DAO proposals are classified as:</w:t>
      </w:r>
    </w:p>
    <w:p>
      <w:pPr>
        <w:pStyle w:val="Compact"/>
        <w:widowControl/>
        <w:numPr>
          <w:ilvl w:val="0"/>
          <w:numId w:val="1241"/>
        </w:numPr>
        <w:rPr/>
      </w:pPr>
      <w:r>
        <w:rPr>
          <w:b/>
          <w:bCs/>
        </w:rPr>
        <w:t>source proposals</w:t>
      </w:r>
      <w:r>
        <w:rPr/>
        <w:t xml:space="preserve"> — add, remove or change a data source;</w:t>
      </w:r>
    </w:p>
    <w:p>
      <w:pPr>
        <w:pStyle w:val="Compact"/>
        <w:widowControl/>
        <w:numPr>
          <w:ilvl w:val="0"/>
          <w:numId w:val="1242"/>
        </w:numPr>
        <w:rPr/>
      </w:pPr>
      <w:r>
        <w:rPr>
          <w:b/>
          <w:bCs/>
        </w:rPr>
        <w:t>adapter proposals</w:t>
      </w:r>
      <w:r>
        <w:rPr/>
        <w:t xml:space="preserve"> — certify, upgrade, suspend or replace an adapter;</w:t>
      </w:r>
    </w:p>
    <w:p>
      <w:pPr>
        <w:pStyle w:val="Compact"/>
        <w:widowControl/>
        <w:numPr>
          <w:ilvl w:val="0"/>
          <w:numId w:val="1243"/>
        </w:numPr>
        <w:rPr/>
      </w:pPr>
      <w:r>
        <w:rPr>
          <w:b/>
          <w:bCs/>
        </w:rPr>
        <w:t>methodology proposals</w:t>
      </w:r>
      <w:r>
        <w:rPr/>
        <w:t xml:space="preserve"> — modify transformations, benchmarks or submetric weights;</w:t>
      </w:r>
    </w:p>
    <w:p>
      <w:pPr>
        <w:pStyle w:val="Compact"/>
        <w:widowControl/>
        <w:numPr>
          <w:ilvl w:val="0"/>
          <w:numId w:val="1244"/>
        </w:numPr>
        <w:rPr/>
      </w:pPr>
      <w:r>
        <w:rPr>
          <w:b/>
          <w:bCs/>
        </w:rPr>
        <w:t>policy proposals</w:t>
      </w:r>
      <w:r>
        <w:rPr/>
        <w:t xml:space="preserve"> — alter confidence, publication or dispute rules;</w:t>
      </w:r>
    </w:p>
    <w:p>
      <w:pPr>
        <w:pStyle w:val="Compact"/>
        <w:widowControl/>
        <w:numPr>
          <w:ilvl w:val="0"/>
          <w:numId w:val="1245"/>
        </w:numPr>
        <w:rPr/>
      </w:pPr>
      <w:r>
        <w:rPr>
          <w:b/>
          <w:bCs/>
        </w:rPr>
        <w:t>infrastructure proposals</w:t>
      </w:r>
      <w:r>
        <w:rPr/>
        <w:t xml:space="preserve"> — fund or upgrade VoxUI, APIs, nodes and indexers;</w:t>
      </w:r>
    </w:p>
    <w:p>
      <w:pPr>
        <w:pStyle w:val="Compact"/>
        <w:widowControl/>
        <w:numPr>
          <w:ilvl w:val="0"/>
          <w:numId w:val="1246"/>
        </w:numPr>
        <w:rPr/>
      </w:pPr>
      <w:r>
        <w:rPr>
          <w:b/>
          <w:bCs/>
        </w:rPr>
        <w:t>economic-layer proposals</w:t>
      </w:r>
      <w:r>
        <w:rPr/>
        <w:t xml:space="preserve"> — activate or modify optional VOX or V-FOREX components;</w:t>
      </w:r>
    </w:p>
    <w:p>
      <w:pPr>
        <w:pStyle w:val="Compact"/>
        <w:widowControl/>
        <w:numPr>
          <w:ilvl w:val="0"/>
          <w:numId w:val="1247"/>
        </w:numPr>
        <w:rPr/>
      </w:pPr>
      <w:r>
        <w:rPr>
          <w:b/>
          <w:bCs/>
        </w:rPr>
        <w:t>constitutional proposals</w:t>
      </w:r>
      <w:r>
        <w:rPr/>
        <w:t xml:space="preserve"> — publish a new framework edition.</w:t>
      </w:r>
    </w:p>
    <w:p>
      <w:pPr>
        <w:pStyle w:val="Normal"/>
        <w:rPr/>
      </w:pPr>
      <w:bookmarkStart w:id="441" w:name="governance-objects"/>
      <w:r>
        <w:rPr/>
        <w:t>Different classes use different quorum, review and delay requirements.</w:t>
      </w:r>
      <w:bookmarkEnd w:id="441"/>
    </w:p>
    <w:p>
      <w:pPr>
        <w:pStyle w:val="Heading2"/>
        <w:keepNext w:val="true"/>
        <w:keepLines/>
        <w:widowControl/>
        <w:rPr/>
      </w:pPr>
      <w:bookmarkStart w:id="442" w:name="__RefHeading___Toc8611_528838595"/>
      <w:bookmarkEnd w:id="442"/>
      <w:r>
        <w:rPr/>
        <w:t>26.4 Representation</w:t>
      </w:r>
    </w:p>
    <w:p>
      <w:pPr>
        <w:pStyle w:val="Normal"/>
        <w:rPr/>
      </w:pPr>
      <w:r>
        <w:rPr/>
        <w:t>Governance design must balance stake, expertise, independence and broad participation. Pure token-weighted governance can be captured by concentrated capital; pure expert governance can become closed and unaccountable.</w:t>
      </w:r>
    </w:p>
    <w:p>
      <w:pPr>
        <w:pStyle w:val="BodyText"/>
        <w:widowControl/>
        <w:rPr/>
      </w:pPr>
      <w:r>
        <w:rPr/>
        <w:t>The implementation may use a bicameral or multi-house model:</w:t>
      </w:r>
    </w:p>
    <w:p>
      <w:pPr>
        <w:pStyle w:val="Compact"/>
        <w:widowControl/>
        <w:numPr>
          <w:ilvl w:val="0"/>
          <w:numId w:val="1248"/>
        </w:numPr>
        <w:rPr/>
      </w:pPr>
      <w:r>
        <w:rPr/>
        <w:t>a participant house representing broad governance stake;</w:t>
      </w:r>
    </w:p>
    <w:p>
      <w:pPr>
        <w:pStyle w:val="Compact"/>
        <w:widowControl/>
        <w:numPr>
          <w:ilvl w:val="0"/>
          <w:numId w:val="1249"/>
        </w:numPr>
        <w:rPr/>
      </w:pPr>
      <w:r>
        <w:rPr/>
        <w:t>a technical and methodological council elected under transparent terms;</w:t>
      </w:r>
    </w:p>
    <w:p>
      <w:pPr>
        <w:pStyle w:val="Compact"/>
        <w:widowControl/>
        <w:numPr>
          <w:ilvl w:val="0"/>
          <w:numId w:val="1250"/>
        </w:numPr>
        <w:rPr/>
      </w:pPr>
      <w:r>
        <w:rPr/>
        <w:t>an independent audit or guardian function limited to delay and review, not permanent veto.</w:t>
      </w:r>
    </w:p>
    <w:p>
      <w:pPr>
        <w:pStyle w:val="Normal"/>
        <w:rPr/>
      </w:pPr>
      <w:bookmarkStart w:id="443" w:name="representation"/>
      <w:r>
        <w:rPr/>
        <w:t>The exact mechanism is an implementation decision, but all authority must be visible and bounded.</w:t>
      </w:r>
      <w:bookmarkEnd w:id="443"/>
    </w:p>
    <w:p>
      <w:pPr>
        <w:pStyle w:val="Heading2"/>
        <w:keepNext w:val="true"/>
        <w:keepLines/>
        <w:widowControl/>
        <w:rPr/>
      </w:pPr>
      <w:bookmarkStart w:id="444" w:name="__RefHeading___Toc8613_528838595"/>
      <w:bookmarkEnd w:id="444"/>
      <w:r>
        <w:rPr/>
        <w:t>26.5 Conflicts of interest</w:t>
      </w:r>
    </w:p>
    <w:p>
      <w:pPr>
        <w:pStyle w:val="Normal"/>
        <w:rPr/>
      </w:pPr>
      <w:bookmarkStart w:id="445" w:name="conflicts-of-interest"/>
      <w:r>
        <w:rPr/>
        <w:t>Proposal authors, reviewers and voters must disclose material interests, including holdings, employment, grants, data-provider relationships and paid research. Conflict disclosure does not automatically exclude participation, but it affects review and quorum rules for high-impact proposals.</w:t>
      </w:r>
      <w:bookmarkEnd w:id="445"/>
    </w:p>
    <w:p>
      <w:pPr>
        <w:pStyle w:val="Heading2"/>
        <w:keepNext w:val="true"/>
        <w:keepLines/>
        <w:widowControl/>
        <w:rPr/>
      </w:pPr>
      <w:bookmarkStart w:id="446" w:name="__RefHeading___Toc8615_528838595"/>
      <w:bookmarkEnd w:id="446"/>
      <w:r>
        <w:rPr/>
        <w:t>26.6 Treasury</w:t>
      </w:r>
    </w:p>
    <w:p>
      <w:pPr>
        <w:pStyle w:val="Normal"/>
        <w:rPr/>
      </w:pPr>
      <w:r>
        <w:rPr/>
        <w:t>The DAO treasury may fund:</w:t>
      </w:r>
    </w:p>
    <w:p>
      <w:pPr>
        <w:pStyle w:val="Compact"/>
        <w:widowControl/>
        <w:numPr>
          <w:ilvl w:val="0"/>
          <w:numId w:val="1251"/>
        </w:numPr>
        <w:rPr/>
      </w:pPr>
      <w:r>
        <w:rPr/>
        <w:t>open-source adapters and data infrastructure;</w:t>
      </w:r>
    </w:p>
    <w:p>
      <w:pPr>
        <w:pStyle w:val="Compact"/>
        <w:widowControl/>
        <w:numPr>
          <w:ilvl w:val="0"/>
          <w:numId w:val="1252"/>
        </w:numPr>
        <w:rPr/>
      </w:pPr>
      <w:r>
        <w:rPr/>
        <w:t>archival nodes and indexers;</w:t>
      </w:r>
    </w:p>
    <w:p>
      <w:pPr>
        <w:pStyle w:val="Compact"/>
        <w:widowControl/>
        <w:numPr>
          <w:ilvl w:val="0"/>
          <w:numId w:val="1253"/>
        </w:numPr>
        <w:rPr/>
      </w:pPr>
      <w:r>
        <w:rPr/>
        <w:t>independent audits;</w:t>
      </w:r>
    </w:p>
    <w:p>
      <w:pPr>
        <w:pStyle w:val="Compact"/>
        <w:widowControl/>
        <w:numPr>
          <w:ilvl w:val="0"/>
          <w:numId w:val="1254"/>
        </w:numPr>
        <w:rPr/>
      </w:pPr>
      <w:r>
        <w:rPr/>
        <w:t>economic research and validation;</w:t>
      </w:r>
    </w:p>
    <w:p>
      <w:pPr>
        <w:pStyle w:val="Compact"/>
        <w:widowControl/>
        <w:numPr>
          <w:ilvl w:val="0"/>
          <w:numId w:val="1255"/>
        </w:numPr>
        <w:rPr/>
      </w:pPr>
      <w:r>
        <w:rPr/>
        <w:t>bug bounties;</w:t>
      </w:r>
    </w:p>
    <w:p>
      <w:pPr>
        <w:pStyle w:val="Compact"/>
        <w:widowControl/>
        <w:numPr>
          <w:ilvl w:val="0"/>
          <w:numId w:val="1256"/>
        </w:numPr>
        <w:rPr/>
      </w:pPr>
      <w:r>
        <w:rPr/>
        <w:t>public documentation and education;</w:t>
      </w:r>
    </w:p>
    <w:p>
      <w:pPr>
        <w:pStyle w:val="Compact"/>
        <w:widowControl/>
        <w:numPr>
          <w:ilvl w:val="0"/>
          <w:numId w:val="1257"/>
        </w:numPr>
        <w:rPr/>
      </w:pPr>
      <w:r>
        <w:rPr/>
        <w:t>legal analysis for optional implementations;</w:t>
      </w:r>
    </w:p>
    <w:p>
      <w:pPr>
        <w:pStyle w:val="Compact"/>
        <w:widowControl/>
        <w:numPr>
          <w:ilvl w:val="0"/>
          <w:numId w:val="1258"/>
        </w:numPr>
        <w:rPr/>
      </w:pPr>
      <w:r>
        <w:rPr/>
        <w:t>emergency response within constitutional limits.</w:t>
      </w:r>
    </w:p>
    <w:p>
      <w:pPr>
        <w:pStyle w:val="Normal"/>
        <w:rPr/>
      </w:pPr>
      <w:bookmarkStart w:id="447" w:name="the-vox-dao"/>
      <w:bookmarkStart w:id="448" w:name="treasury"/>
      <w:r>
        <w:rPr/>
        <w:t>Treasury spending is public and versioned. Grants cannot purchase favourable scores.</w:t>
      </w:r>
      <w:bookmarkEnd w:id="447"/>
      <w:bookmarkEnd w:id="448"/>
    </w:p>
    <w:p>
      <w:pPr>
        <w:pStyle w:val="Heading1"/>
        <w:keepNext w:val="true"/>
        <w:keepLines/>
        <w:widowControl/>
        <w:pBdr>
          <w:bottom w:val="single" w:sz="6" w:space="5" w:color="8AB2BF"/>
        </w:pBdr>
        <w:jc w:val="start"/>
        <w:rPr/>
      </w:pPr>
      <w:bookmarkStart w:id="449" w:name="__RefHeading___Toc8617_528838595"/>
      <w:bookmarkEnd w:id="449"/>
      <w:r>
        <w:rPr/>
        <w:t>27. Governance Mechanics and Capture Resistance</w:t>
      </w:r>
    </w:p>
    <w:p>
      <w:pPr>
        <w:pStyle w:val="Heading2"/>
        <w:keepNext w:val="true"/>
        <w:keepLines/>
        <w:widowControl/>
        <w:rPr/>
      </w:pPr>
      <w:bookmarkStart w:id="450" w:name="__RefHeading___Toc8619_528838595"/>
      <w:bookmarkStart w:id="451" w:name="proposal-lifecycle"/>
      <w:bookmarkEnd w:id="450"/>
      <w:r>
        <w:rPr/>
        <w:t>27.1 Proposal lifecycle</w:t>
      </w:r>
    </w:p>
    <w:p>
      <w:pPr>
        <w:pStyle w:val="Normal"/>
        <w:rPr/>
      </w:pPr>
      <w:r>
        <w:rPr/>
        <w:t>A standard proposal follows:</w:t>
      </w:r>
    </w:p>
    <w:p>
      <w:pPr>
        <w:pStyle w:val="Compact"/>
        <w:widowControl/>
        <w:numPr>
          <w:ilvl w:val="0"/>
          <w:numId w:val="1259"/>
        </w:numPr>
        <w:rPr/>
      </w:pPr>
      <w:r>
        <w:rPr>
          <w:b/>
          <w:bCs/>
        </w:rPr>
        <w:t>Draft</w:t>
      </w:r>
      <w:r>
        <w:rPr/>
        <w:t xml:space="preserve"> — problem statement, evidence and proposed change.</w:t>
      </w:r>
    </w:p>
    <w:p>
      <w:pPr>
        <w:pStyle w:val="Compact"/>
        <w:widowControl/>
        <w:numPr>
          <w:ilvl w:val="0"/>
          <w:numId w:val="1260"/>
        </w:numPr>
        <w:rPr/>
      </w:pPr>
      <w:r>
        <w:rPr>
          <w:b/>
          <w:bCs/>
        </w:rPr>
        <w:t>Technical review</w:t>
      </w:r>
      <w:r>
        <w:rPr/>
        <w:t xml:space="preserve"> — reproducibility, security and methodology assessment.</w:t>
      </w:r>
    </w:p>
    <w:p>
      <w:pPr>
        <w:pStyle w:val="Compact"/>
        <w:widowControl/>
        <w:numPr>
          <w:ilvl w:val="0"/>
          <w:numId w:val="1261"/>
        </w:numPr>
        <w:rPr/>
      </w:pPr>
      <w:r>
        <w:rPr>
          <w:b/>
          <w:bCs/>
        </w:rPr>
        <w:t>Public consultation</w:t>
      </w:r>
      <w:r>
        <w:rPr/>
        <w:t xml:space="preserve"> — open comments and competing proposals.</w:t>
      </w:r>
    </w:p>
    <w:p>
      <w:pPr>
        <w:pStyle w:val="Compact"/>
        <w:widowControl/>
        <w:numPr>
          <w:ilvl w:val="0"/>
          <w:numId w:val="1262"/>
        </w:numPr>
        <w:rPr/>
      </w:pPr>
      <w:r>
        <w:rPr>
          <w:b/>
          <w:bCs/>
        </w:rPr>
        <w:t>Simulation</w:t>
      </w:r>
      <w:r>
        <w:rPr/>
        <w:t xml:space="preserve"> — historical backtest, sensitivity and impact report.</w:t>
      </w:r>
    </w:p>
    <w:p>
      <w:pPr>
        <w:pStyle w:val="Compact"/>
        <w:widowControl/>
        <w:numPr>
          <w:ilvl w:val="0"/>
          <w:numId w:val="1263"/>
        </w:numPr>
        <w:rPr/>
      </w:pPr>
      <w:r>
        <w:rPr>
          <w:b/>
          <w:bCs/>
        </w:rPr>
        <w:t>Formal vote</w:t>
      </w:r>
      <w:r>
        <w:rPr/>
        <w:t xml:space="preserve"> — quorum and approval threshold by proposal class.</w:t>
      </w:r>
    </w:p>
    <w:p>
      <w:pPr>
        <w:pStyle w:val="Compact"/>
        <w:widowControl/>
        <w:numPr>
          <w:ilvl w:val="0"/>
          <w:numId w:val="1264"/>
        </w:numPr>
        <w:rPr/>
      </w:pPr>
      <w:r>
        <w:rPr>
          <w:b/>
          <w:bCs/>
        </w:rPr>
        <w:t>Timelock</w:t>
      </w:r>
      <w:r>
        <w:rPr/>
        <w:t xml:space="preserve"> — delayed execution with public final code and parameters.</w:t>
      </w:r>
    </w:p>
    <w:p>
      <w:pPr>
        <w:pStyle w:val="Compact"/>
        <w:widowControl/>
        <w:numPr>
          <w:ilvl w:val="0"/>
          <w:numId w:val="1265"/>
        </w:numPr>
        <w:rPr/>
      </w:pPr>
      <w:r>
        <w:rPr>
          <w:b/>
          <w:bCs/>
        </w:rPr>
        <w:t>Activation</w:t>
      </w:r>
      <w:r>
        <w:rPr/>
        <w:t xml:space="preserve"> — versioned deployment at a defined timestamp.</w:t>
      </w:r>
    </w:p>
    <w:p>
      <w:pPr>
        <w:pStyle w:val="Compact"/>
        <w:widowControl/>
        <w:numPr>
          <w:ilvl w:val="0"/>
          <w:numId w:val="1266"/>
        </w:numPr>
        <w:rPr/>
      </w:pPr>
      <w:r>
        <w:rPr>
          <w:b/>
          <w:bCs/>
        </w:rPr>
        <w:t>Post-activation review</w:t>
      </w:r>
      <w:r>
        <w:rPr/>
        <w:t xml:space="preserve"> — monitoring and comparison with simulated effect.</w:t>
      </w:r>
      <w:bookmarkEnd w:id="451"/>
    </w:p>
    <w:p>
      <w:pPr>
        <w:pStyle w:val="Heading2"/>
        <w:keepNext w:val="true"/>
        <w:keepLines/>
        <w:widowControl/>
        <w:rPr/>
      </w:pPr>
      <w:bookmarkStart w:id="452" w:name="__RefHeading___Toc8621_528838595"/>
      <w:bookmarkEnd w:id="452"/>
      <w:r>
        <w:rPr/>
        <w:t>27.2 Required proposal package</w:t>
      </w:r>
    </w:p>
    <w:p>
      <w:pPr>
        <w:pStyle w:val="Normal"/>
        <w:rPr/>
      </w:pPr>
      <w:r>
        <w:rPr/>
        <w:t>Every methodology proposal includes:</w:t>
      </w:r>
    </w:p>
    <w:p>
      <w:pPr>
        <w:pStyle w:val="Compact"/>
        <w:widowControl/>
        <w:numPr>
          <w:ilvl w:val="0"/>
          <w:numId w:val="1267"/>
        </w:numPr>
        <w:rPr/>
      </w:pPr>
      <w:r>
        <w:rPr/>
        <w:t>exact mathematical change;</w:t>
      </w:r>
    </w:p>
    <w:p>
      <w:pPr>
        <w:pStyle w:val="Compact"/>
        <w:widowControl/>
        <w:numPr>
          <w:ilvl w:val="0"/>
          <w:numId w:val="1268"/>
        </w:numPr>
        <w:rPr/>
      </w:pPr>
      <w:r>
        <w:rPr/>
        <w:t>machine-readable configuration diff;</w:t>
      </w:r>
    </w:p>
    <w:p>
      <w:pPr>
        <w:pStyle w:val="Compact"/>
        <w:widowControl/>
        <w:numPr>
          <w:ilvl w:val="0"/>
          <w:numId w:val="1269"/>
        </w:numPr>
        <w:rPr/>
      </w:pPr>
      <w:r>
        <w:rPr/>
        <w:t>affected metrics and networks;</w:t>
      </w:r>
    </w:p>
    <w:p>
      <w:pPr>
        <w:pStyle w:val="Compact"/>
        <w:widowControl/>
        <w:numPr>
          <w:ilvl w:val="0"/>
          <w:numId w:val="1270"/>
        </w:numPr>
        <w:rPr/>
      </w:pPr>
      <w:r>
        <w:rPr/>
        <w:t>historical recalculation;</w:t>
      </w:r>
    </w:p>
    <w:p>
      <w:pPr>
        <w:pStyle w:val="Compact"/>
        <w:widowControl/>
        <w:numPr>
          <w:ilvl w:val="0"/>
          <w:numId w:val="1271"/>
        </w:numPr>
        <w:rPr/>
      </w:pPr>
      <w:r>
        <w:rPr/>
        <w:t>distributional and ranking impact;</w:t>
      </w:r>
    </w:p>
    <w:p>
      <w:pPr>
        <w:pStyle w:val="Compact"/>
        <w:widowControl/>
        <w:numPr>
          <w:ilvl w:val="0"/>
          <w:numId w:val="1272"/>
        </w:numPr>
        <w:rPr/>
      </w:pPr>
      <w:r>
        <w:rPr/>
        <w:t>manipulation and gaming analysis;</w:t>
      </w:r>
    </w:p>
    <w:p>
      <w:pPr>
        <w:pStyle w:val="Compact"/>
        <w:widowControl/>
        <w:numPr>
          <w:ilvl w:val="0"/>
          <w:numId w:val="1273"/>
        </w:numPr>
        <w:rPr/>
      </w:pPr>
      <w:r>
        <w:rPr/>
        <w:t>source and adapter implications;</w:t>
      </w:r>
    </w:p>
    <w:p>
      <w:pPr>
        <w:pStyle w:val="Compact"/>
        <w:widowControl/>
        <w:numPr>
          <w:ilvl w:val="0"/>
          <w:numId w:val="1274"/>
        </w:numPr>
        <w:rPr/>
      </w:pPr>
      <w:r>
        <w:rPr/>
        <w:t>migration and rollback plan;</w:t>
      </w:r>
    </w:p>
    <w:p>
      <w:pPr>
        <w:pStyle w:val="Compact"/>
        <w:widowControl/>
        <w:numPr>
          <w:ilvl w:val="0"/>
          <w:numId w:val="1275"/>
        </w:numPr>
        <w:rPr/>
      </w:pPr>
      <w:r>
        <w:rPr/>
        <w:t>conflicts of interest;</w:t>
      </w:r>
    </w:p>
    <w:p>
      <w:pPr>
        <w:pStyle w:val="Compact"/>
        <w:widowControl/>
        <w:numPr>
          <w:ilvl w:val="0"/>
          <w:numId w:val="1276"/>
        </w:numPr>
        <w:rPr/>
      </w:pPr>
      <w:bookmarkStart w:id="453" w:name="required-proposal-package"/>
      <w:r>
        <w:rPr/>
        <w:t>plain-language rationale.</w:t>
      </w:r>
      <w:bookmarkEnd w:id="453"/>
    </w:p>
    <w:p>
      <w:pPr>
        <w:pStyle w:val="Heading2"/>
        <w:keepNext w:val="true"/>
        <w:keepLines/>
        <w:widowControl/>
        <w:rPr/>
      </w:pPr>
      <w:bookmarkStart w:id="454" w:name="__RefHeading___Toc8623_528838595"/>
      <w:bookmarkEnd w:id="454"/>
      <w:r>
        <w:rPr/>
        <w:t>27.3 Thresholds</w:t>
      </w:r>
    </w:p>
    <w:p>
      <w:pPr>
        <w:pStyle w:val="Normal"/>
        <w:rPr/>
      </w:pPr>
      <w:r>
        <w:rPr/>
        <w:t>Illustrative minimums are:</w:t>
      </w:r>
    </w:p>
    <w:tbl>
      <w:tblPr>
        <w:tblStyle w:val="Table"/>
        <w:tblW w:w="7920" w:type="dxa"/>
        <w:jc w:val="center"/>
        <w:tblInd w:w="0" w:type="dxa"/>
        <w:tblLayout w:type="fixed"/>
        <w:tblCellMar>
          <w:top w:w="80" w:type="dxa"/>
          <w:start w:w="100" w:type="dxa"/>
          <w:bottom w:w="80" w:type="dxa"/>
          <w:end w:w="100" w:type="dxa"/>
        </w:tblCellMar>
        <w:tblLook w:val="0020" w:noHBand="0" w:noVBand="1" w:firstColumn="0" w:lastRow="0" w:lastColumn="0" w:firstRow="1"/>
      </w:tblPr>
      <w:tblGrid>
        <w:gridCol w:w="1980"/>
        <w:gridCol w:w="1980"/>
        <w:gridCol w:w="1980"/>
        <w:gridCol w:w="1979"/>
      </w:tblGrid>
      <w:tr>
        <w:trPr>
          <w:tblHeader w:val="true"/>
          <w:cantSplit w:val="true"/>
        </w:trPr>
        <w:tc>
          <w:tcPr>
            <w:tcW w:w="198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Proposal class</w:t>
            </w:r>
          </w:p>
        </w:tc>
        <w:tc>
          <w:tcPr>
            <w:tcW w:w="198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Quorum</w:t>
            </w:r>
          </w:p>
        </w:tc>
        <w:tc>
          <w:tcPr>
            <w:tcW w:w="198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Approval</w:t>
            </w:r>
          </w:p>
        </w:tc>
        <w:tc>
          <w:tcPr>
            <w:tcW w:w="197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Timelock</w:t>
            </w:r>
          </w:p>
        </w:tc>
      </w:tr>
      <w:tr>
        <w:trPr>
          <w:cantSplit w:val="true"/>
        </w:trPr>
        <w:tc>
          <w:tcPr>
            <w:tcW w:w="198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Source or minor adapter update</w:t>
            </w:r>
          </w:p>
        </w:tc>
        <w:tc>
          <w:tcPr>
            <w:tcW w:w="198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10%</w:t>
            </w:r>
          </w:p>
        </w:tc>
        <w:tc>
          <w:tcPr>
            <w:tcW w:w="198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Simple majority</w:t>
            </w:r>
          </w:p>
        </w:tc>
        <w:tc>
          <w:tcPr>
            <w:tcW w:w="197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7 days</w:t>
            </w:r>
          </w:p>
        </w:tc>
      </w:tr>
      <w:tr>
        <w:trPr>
          <w:cantSplit w:val="true"/>
        </w:trPr>
        <w:tc>
          <w:tcPr>
            <w:tcW w:w="198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Methodology or benchmark change</w:t>
            </w:r>
          </w:p>
        </w:tc>
        <w:tc>
          <w:tcPr>
            <w:tcW w:w="198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98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66.7%</w:t>
            </w:r>
          </w:p>
        </w:tc>
        <w:tc>
          <w:tcPr>
            <w:tcW w:w="197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30 days</w:t>
            </w:r>
          </w:p>
        </w:tc>
      </w:tr>
      <w:tr>
        <w:trPr>
          <w:cantSplit w:val="true"/>
        </w:trPr>
        <w:tc>
          <w:tcPr>
            <w:tcW w:w="198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Optional economic-layer activation</w:t>
            </w:r>
          </w:p>
        </w:tc>
        <w:tc>
          <w:tcPr>
            <w:tcW w:w="198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30%</w:t>
            </w:r>
          </w:p>
        </w:tc>
        <w:tc>
          <w:tcPr>
            <w:tcW w:w="198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75%</w:t>
            </w:r>
          </w:p>
        </w:tc>
        <w:tc>
          <w:tcPr>
            <w:tcW w:w="197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60 days</w:t>
            </w:r>
          </w:p>
        </w:tc>
      </w:tr>
      <w:tr>
        <w:trPr>
          <w:cantSplit w:val="true"/>
        </w:trPr>
        <w:tc>
          <w:tcPr>
            <w:tcW w:w="198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Constitutional edition</w:t>
            </w:r>
          </w:p>
        </w:tc>
        <w:tc>
          <w:tcPr>
            <w:tcW w:w="198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40%</w:t>
            </w:r>
          </w:p>
        </w:tc>
        <w:tc>
          <w:tcPr>
            <w:tcW w:w="198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80%</w:t>
            </w:r>
          </w:p>
        </w:tc>
        <w:tc>
          <w:tcPr>
            <w:tcW w:w="197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90 days</w:t>
            </w:r>
          </w:p>
        </w:tc>
      </w:tr>
    </w:tbl>
    <w:p>
      <w:pPr>
        <w:pStyle w:val="BodyText"/>
        <w:widowControl/>
        <w:rPr/>
      </w:pPr>
      <w:bookmarkStart w:id="455" w:name="thresholds"/>
      <w:r>
        <w:rPr/>
        <w:t>These figures are genesis parameters subject to pre-launch simulation. The constitution fixes the process class, not these exact percentages.</w:t>
      </w:r>
      <w:bookmarkEnd w:id="455"/>
    </w:p>
    <w:p>
      <w:pPr>
        <w:pStyle w:val="Heading2"/>
        <w:keepNext w:val="true"/>
        <w:keepLines/>
        <w:widowControl/>
        <w:rPr/>
      </w:pPr>
      <w:bookmarkStart w:id="456" w:name="__RefHeading___Toc8625_528838595"/>
      <w:bookmarkEnd w:id="456"/>
      <w:r>
        <w:rPr/>
        <w:t>27.4 Delegation and vote concentration</w:t>
      </w:r>
    </w:p>
    <w:p>
      <w:pPr>
        <w:pStyle w:val="Normal"/>
        <w:rPr/>
      </w:pPr>
      <w:bookmarkStart w:id="457" w:name="delegation-and-vote-concentration"/>
      <w:r>
        <w:rPr/>
        <w:t>Delegation can improve informed participation but may concentrate power. VoxUI publishes delegate voting power, participation, conflicts and voting history. Governance may apply concentration caps, quadratic mechanisms or house-based approval, provided the rules are public and consistently applied.</w:t>
      </w:r>
      <w:bookmarkEnd w:id="457"/>
    </w:p>
    <w:p>
      <w:pPr>
        <w:pStyle w:val="Heading2"/>
        <w:keepNext w:val="true"/>
        <w:keepLines/>
        <w:widowControl/>
        <w:rPr/>
      </w:pPr>
      <w:bookmarkStart w:id="458" w:name="__RefHeading___Toc8627_528838595"/>
      <w:bookmarkEnd w:id="458"/>
      <w:r>
        <w:rPr/>
        <w:t>27.5 Emergency action</w:t>
      </w:r>
    </w:p>
    <w:p>
      <w:pPr>
        <w:pStyle w:val="Normal"/>
        <w:rPr/>
      </w:pPr>
      <w:r>
        <w:rPr/>
        <w:t>Emergency authority is limited to preventing immediate data corruption, security loss or unsafe economic-layer operation. Emergency actions must:</w:t>
      </w:r>
    </w:p>
    <w:p>
      <w:pPr>
        <w:pStyle w:val="Compact"/>
        <w:widowControl/>
        <w:numPr>
          <w:ilvl w:val="0"/>
          <w:numId w:val="1277"/>
        </w:numPr>
        <w:rPr/>
      </w:pPr>
      <w:r>
        <w:rPr/>
        <w:t>use pre-defined powers;</w:t>
      </w:r>
    </w:p>
    <w:p>
      <w:pPr>
        <w:pStyle w:val="Compact"/>
        <w:widowControl/>
        <w:numPr>
          <w:ilvl w:val="0"/>
          <w:numId w:val="1278"/>
        </w:numPr>
        <w:rPr/>
      </w:pPr>
      <w:r>
        <w:rPr/>
        <w:t>be time-limited;</w:t>
      </w:r>
    </w:p>
    <w:p>
      <w:pPr>
        <w:pStyle w:val="Compact"/>
        <w:widowControl/>
        <w:numPr>
          <w:ilvl w:val="0"/>
          <w:numId w:val="1279"/>
        </w:numPr>
        <w:rPr/>
      </w:pPr>
      <w:r>
        <w:rPr/>
        <w:t>preserve historical evidence;</w:t>
      </w:r>
    </w:p>
    <w:p>
      <w:pPr>
        <w:pStyle w:val="Compact"/>
        <w:widowControl/>
        <w:numPr>
          <w:ilvl w:val="0"/>
          <w:numId w:val="1280"/>
        </w:numPr>
        <w:rPr/>
      </w:pPr>
      <w:r>
        <w:rPr/>
        <w:t>trigger immediate public notice;</w:t>
      </w:r>
    </w:p>
    <w:p>
      <w:pPr>
        <w:pStyle w:val="Compact"/>
        <w:widowControl/>
        <w:numPr>
          <w:ilvl w:val="0"/>
          <w:numId w:val="1281"/>
        </w:numPr>
        <w:rPr/>
      </w:pPr>
      <w:r>
        <w:rPr/>
        <w:t>require retrospective ratification;</w:t>
      </w:r>
    </w:p>
    <w:p>
      <w:pPr>
        <w:pStyle w:val="Compact"/>
        <w:widowControl/>
        <w:numPr>
          <w:ilvl w:val="0"/>
          <w:numId w:val="1282"/>
        </w:numPr>
        <w:rPr/>
      </w:pPr>
      <w:bookmarkStart w:id="459" w:name="emergency-action"/>
      <w:r>
        <w:rPr/>
        <w:t>never alter a score merely because it is economically inconvenient.</w:t>
      </w:r>
      <w:bookmarkEnd w:id="459"/>
    </w:p>
    <w:p>
      <w:pPr>
        <w:pStyle w:val="Heading2"/>
        <w:keepNext w:val="true"/>
        <w:keepLines/>
        <w:widowControl/>
        <w:rPr/>
      </w:pPr>
      <w:bookmarkStart w:id="460" w:name="__RefHeading___Toc8629_528838595"/>
      <w:bookmarkEnd w:id="460"/>
      <w:r>
        <w:rPr/>
        <w:t>27.6 Capture resistance</w:t>
      </w:r>
    </w:p>
    <w:p>
      <w:pPr>
        <w:pStyle w:val="Normal"/>
        <w:rPr/>
      </w:pPr>
      <w:r>
        <w:rPr/>
        <w:t>Capture resistance combines:</w:t>
      </w:r>
    </w:p>
    <w:p>
      <w:pPr>
        <w:pStyle w:val="Compact"/>
        <w:widowControl/>
        <w:numPr>
          <w:ilvl w:val="0"/>
          <w:numId w:val="1283"/>
        </w:numPr>
        <w:rPr/>
      </w:pPr>
      <w:r>
        <w:rPr/>
        <w:t>diversified voting and review bodies;</w:t>
      </w:r>
    </w:p>
    <w:p>
      <w:pPr>
        <w:pStyle w:val="Compact"/>
        <w:widowControl/>
        <w:numPr>
          <w:ilvl w:val="0"/>
          <w:numId w:val="1284"/>
        </w:numPr>
        <w:rPr/>
      </w:pPr>
      <w:r>
        <w:rPr/>
        <w:t>timelocks;</w:t>
      </w:r>
    </w:p>
    <w:p>
      <w:pPr>
        <w:pStyle w:val="Compact"/>
        <w:widowControl/>
        <w:numPr>
          <w:ilvl w:val="0"/>
          <w:numId w:val="1285"/>
        </w:numPr>
        <w:rPr/>
      </w:pPr>
      <w:r>
        <w:rPr/>
        <w:t>supermajority thresholds;</w:t>
      </w:r>
    </w:p>
    <w:p>
      <w:pPr>
        <w:pStyle w:val="Compact"/>
        <w:widowControl/>
        <w:numPr>
          <w:ilvl w:val="0"/>
          <w:numId w:val="1286"/>
        </w:numPr>
        <w:rPr/>
      </w:pPr>
      <w:r>
        <w:rPr/>
        <w:t>public evidence requirements;</w:t>
      </w:r>
    </w:p>
    <w:p>
      <w:pPr>
        <w:pStyle w:val="Compact"/>
        <w:widowControl/>
        <w:numPr>
          <w:ilvl w:val="0"/>
          <w:numId w:val="1287"/>
        </w:numPr>
        <w:rPr/>
      </w:pPr>
      <w:r>
        <w:rPr/>
        <w:t>conflict disclosure;</w:t>
      </w:r>
    </w:p>
    <w:p>
      <w:pPr>
        <w:pStyle w:val="Compact"/>
        <w:widowControl/>
        <w:numPr>
          <w:ilvl w:val="0"/>
          <w:numId w:val="1288"/>
        </w:numPr>
        <w:rPr/>
      </w:pPr>
      <w:r>
        <w:rPr/>
        <w:t>immutable history;</w:t>
      </w:r>
    </w:p>
    <w:p>
      <w:pPr>
        <w:pStyle w:val="Compact"/>
        <w:widowControl/>
        <w:numPr>
          <w:ilvl w:val="0"/>
          <w:numId w:val="1289"/>
        </w:numPr>
        <w:rPr/>
      </w:pPr>
      <w:r>
        <w:rPr/>
        <w:t>forkable open-source software and data;</w:t>
      </w:r>
    </w:p>
    <w:p>
      <w:pPr>
        <w:pStyle w:val="Compact"/>
        <w:widowControl/>
        <w:numPr>
          <w:ilvl w:val="0"/>
          <w:numId w:val="1290"/>
        </w:numPr>
        <w:rPr/>
      </w:pPr>
      <w:r>
        <w:rPr/>
        <w:t>independent reproduction of calculations.</w:t>
      </w:r>
    </w:p>
    <w:p>
      <w:pPr>
        <w:pStyle w:val="Normal"/>
        <w:rPr/>
      </w:pPr>
      <w:bookmarkStart w:id="461" w:name="X6dc12bc3d97eaa22b24a469b9bae8a4198098b5"/>
      <w:bookmarkStart w:id="462" w:name="capture-resistance"/>
      <w:r>
        <w:rPr/>
        <w:t>The ultimate defence is exit and verification: if governance corrupts the standard, the public must be able to reproduce the last valid version.</w:t>
      </w:r>
      <w:bookmarkEnd w:id="461"/>
      <w:bookmarkEnd w:id="462"/>
    </w:p>
    <w:p>
      <w:pPr>
        <w:pStyle w:val="Heading1"/>
        <w:keepNext w:val="true"/>
        <w:keepLines/>
        <w:widowControl/>
        <w:pBdr>
          <w:bottom w:val="single" w:sz="6" w:space="5" w:color="8AB2BF"/>
        </w:pBdr>
        <w:jc w:val="start"/>
        <w:rPr/>
      </w:pPr>
      <w:bookmarkStart w:id="463" w:name="__RefHeading___Toc8631_528838595"/>
      <w:bookmarkEnd w:id="463"/>
      <w:r>
        <w:rPr/>
        <w:t>28. Versioning, Audit and Dispute Resolution</w:t>
      </w:r>
    </w:p>
    <w:p>
      <w:pPr>
        <w:pStyle w:val="Heading2"/>
        <w:keepNext w:val="true"/>
        <w:keepLines/>
        <w:widowControl/>
        <w:rPr/>
      </w:pPr>
      <w:bookmarkStart w:id="464" w:name="__RefHeading___Toc8633_528838595"/>
      <w:bookmarkEnd w:id="464"/>
      <w:r>
        <w:rPr/>
        <w:t>28.1 Semantic versioning</w:t>
      </w:r>
    </w:p>
    <w:p>
      <w:pPr>
        <w:pStyle w:val="Normal"/>
        <w:rPr/>
      </w:pPr>
      <w:r>
        <w:rPr/>
        <w:t>Framework versions use:</w:t>
      </w:r>
    </w:p>
    <w:p>
      <w:pPr>
        <w:pStyle w:val="Compact"/>
        <w:widowControl/>
        <w:numPr>
          <w:ilvl w:val="0"/>
          <w:numId w:val="1291"/>
        </w:numPr>
        <w:rPr/>
      </w:pPr>
      <w:r>
        <w:rPr>
          <w:b/>
          <w:bCs/>
        </w:rPr>
        <w:t>major version</w:t>
      </w:r>
      <w:r>
        <w:rPr/>
        <w:t xml:space="preserve"> — constitutional change or incompatible methodology;</w:t>
      </w:r>
    </w:p>
    <w:p>
      <w:pPr>
        <w:pStyle w:val="Compact"/>
        <w:widowControl/>
        <w:numPr>
          <w:ilvl w:val="0"/>
          <w:numId w:val="1292"/>
        </w:numPr>
        <w:rPr/>
      </w:pPr>
      <w:r>
        <w:rPr>
          <w:b/>
          <w:bCs/>
        </w:rPr>
        <w:t>minor version</w:t>
      </w:r>
      <w:r>
        <w:rPr/>
        <w:t xml:space="preserve"> — material but compatible metric, benchmark or policy update;</w:t>
      </w:r>
    </w:p>
    <w:p>
      <w:pPr>
        <w:pStyle w:val="Compact"/>
        <w:widowControl/>
        <w:numPr>
          <w:ilvl w:val="0"/>
          <w:numId w:val="1293"/>
        </w:numPr>
        <w:rPr/>
      </w:pPr>
      <w:r>
        <w:rPr>
          <w:b/>
          <w:bCs/>
        </w:rPr>
        <w:t>patch version</w:t>
      </w:r>
      <w:r>
        <w:rPr/>
        <w:t xml:space="preserve"> — defect correction that does not change intended methodology.</w:t>
      </w:r>
    </w:p>
    <w:p>
      <w:pPr>
        <w:pStyle w:val="Normal"/>
        <w:rPr/>
      </w:pPr>
      <w:bookmarkStart w:id="465" w:name="semantic-versioning"/>
      <w:r>
        <w:rPr/>
        <w:t>Every result records the full framework, metric-registry, adapter and source version.</w:t>
      </w:r>
      <w:bookmarkEnd w:id="465"/>
    </w:p>
    <w:p>
      <w:pPr>
        <w:pStyle w:val="Heading2"/>
        <w:keepNext w:val="true"/>
        <w:keepLines/>
        <w:widowControl/>
        <w:rPr/>
      </w:pPr>
      <w:bookmarkStart w:id="466" w:name="__RefHeading___Toc8635_528838595"/>
      <w:bookmarkEnd w:id="466"/>
      <w:r>
        <w:rPr/>
        <w:t>28.2 Historical series</w:t>
      </w:r>
    </w:p>
    <w:p>
      <w:pPr>
        <w:pStyle w:val="Normal"/>
        <w:rPr/>
      </w:pPr>
      <w:r>
        <w:rPr/>
        <w:t>When a major or minor methodology change occurs, Voxonomics publishes:</w:t>
      </w:r>
    </w:p>
    <w:p>
      <w:pPr>
        <w:pStyle w:val="Compact"/>
        <w:widowControl/>
        <w:numPr>
          <w:ilvl w:val="0"/>
          <w:numId w:val="1294"/>
        </w:numPr>
        <w:rPr/>
      </w:pPr>
      <w:r>
        <w:rPr/>
        <w:t>the original historical series;</w:t>
      </w:r>
    </w:p>
    <w:p>
      <w:pPr>
        <w:pStyle w:val="Compact"/>
        <w:widowControl/>
        <w:numPr>
          <w:ilvl w:val="0"/>
          <w:numId w:val="1295"/>
        </w:numPr>
        <w:rPr/>
      </w:pPr>
      <w:r>
        <w:rPr/>
        <w:t>a recalculated series under the new version;</w:t>
      </w:r>
    </w:p>
    <w:p>
      <w:pPr>
        <w:pStyle w:val="Compact"/>
        <w:widowControl/>
        <w:numPr>
          <w:ilvl w:val="0"/>
          <w:numId w:val="1296"/>
        </w:numPr>
        <w:rPr/>
      </w:pPr>
      <w:r>
        <w:rPr/>
        <w:t>a bridge table showing differences;</w:t>
      </w:r>
    </w:p>
    <w:p>
      <w:pPr>
        <w:pStyle w:val="Compact"/>
        <w:widowControl/>
        <w:numPr>
          <w:ilvl w:val="0"/>
          <w:numId w:val="1297"/>
        </w:numPr>
        <w:rPr/>
      </w:pPr>
      <w:r>
        <w:rPr/>
        <w:t>the date the new series became official.</w:t>
      </w:r>
    </w:p>
    <w:p>
      <w:pPr>
        <w:pStyle w:val="Normal"/>
        <w:rPr/>
      </w:pPr>
      <w:bookmarkStart w:id="467" w:name="historical-series"/>
      <w:r>
        <w:rPr/>
        <w:t>Users can therefore distinguish genuine economic change from model change.</w:t>
      </w:r>
      <w:bookmarkEnd w:id="467"/>
    </w:p>
    <w:p>
      <w:pPr>
        <w:pStyle w:val="Heading2"/>
        <w:keepNext w:val="true"/>
        <w:keepLines/>
        <w:widowControl/>
        <w:rPr/>
      </w:pPr>
      <w:bookmarkStart w:id="468" w:name="__RefHeading___Toc8637_528838595"/>
      <w:bookmarkEnd w:id="468"/>
      <w:r>
        <w:rPr/>
        <w:t>28.3 Audit levels</w:t>
      </w:r>
    </w:p>
    <w:p>
      <w:pPr>
        <w:pStyle w:val="Normal"/>
        <w:rPr/>
      </w:pPr>
      <w:r>
        <w:rPr/>
        <w:t>Audits occur at four levels:</w:t>
      </w:r>
    </w:p>
    <w:p>
      <w:pPr>
        <w:pStyle w:val="Compact"/>
        <w:widowControl/>
        <w:numPr>
          <w:ilvl w:val="0"/>
          <w:numId w:val="1298"/>
        </w:numPr>
        <w:rPr/>
      </w:pPr>
      <w:r>
        <w:rPr>
          <w:b/>
          <w:bCs/>
        </w:rPr>
        <w:t>Data audit</w:t>
      </w:r>
      <w:r>
        <w:rPr/>
        <w:t xml:space="preserve"> — source provenance, completeness and reconciliation.</w:t>
      </w:r>
    </w:p>
    <w:p>
      <w:pPr>
        <w:pStyle w:val="Compact"/>
        <w:widowControl/>
        <w:numPr>
          <w:ilvl w:val="0"/>
          <w:numId w:val="1299"/>
        </w:numPr>
        <w:rPr/>
      </w:pPr>
      <w:r>
        <w:rPr>
          <w:b/>
          <w:bCs/>
        </w:rPr>
        <w:t>Code audit</w:t>
      </w:r>
      <w:r>
        <w:rPr/>
        <w:t xml:space="preserve"> — adapter and calculation correctness.</w:t>
      </w:r>
    </w:p>
    <w:p>
      <w:pPr>
        <w:pStyle w:val="Compact"/>
        <w:widowControl/>
        <w:numPr>
          <w:ilvl w:val="0"/>
          <w:numId w:val="1300"/>
        </w:numPr>
        <w:rPr/>
      </w:pPr>
      <w:r>
        <w:rPr>
          <w:b/>
          <w:bCs/>
        </w:rPr>
        <w:t>Methodology audit</w:t>
      </w:r>
      <w:r>
        <w:rPr/>
        <w:t xml:space="preserve"> — economic validity, correlation and sensitivity.</w:t>
      </w:r>
    </w:p>
    <w:p>
      <w:pPr>
        <w:pStyle w:val="Compact"/>
        <w:widowControl/>
        <w:numPr>
          <w:ilvl w:val="0"/>
          <w:numId w:val="1301"/>
        </w:numPr>
        <w:rPr/>
      </w:pPr>
      <w:r>
        <w:rPr>
          <w:b/>
          <w:bCs/>
        </w:rPr>
        <w:t>Economic-layer audit</w:t>
      </w:r>
      <w:r>
        <w:rPr/>
        <w:t xml:space="preserve"> — smart contracts, issuance, markets, bridges and legal assumptions.</w:t>
      </w:r>
    </w:p>
    <w:p>
      <w:pPr>
        <w:pStyle w:val="Normal"/>
        <w:rPr/>
      </w:pPr>
      <w:bookmarkStart w:id="469" w:name="audit-levels"/>
      <w:r>
        <w:rPr/>
        <w:t>An audit must disclose scope and limitations. A code audit does not certify economic design, and an economic review does not prove implementation security.</w:t>
      </w:r>
      <w:bookmarkEnd w:id="469"/>
    </w:p>
    <w:p>
      <w:pPr>
        <w:pStyle w:val="Heading2"/>
        <w:keepNext w:val="true"/>
        <w:keepLines/>
        <w:widowControl/>
        <w:rPr/>
      </w:pPr>
      <w:bookmarkStart w:id="470" w:name="__RefHeading___Toc8639_528838595"/>
      <w:bookmarkEnd w:id="470"/>
      <w:r>
        <w:rPr/>
        <w:t>28.4 Dispute initiation</w:t>
      </w:r>
    </w:p>
    <w:p>
      <w:pPr>
        <w:pStyle w:val="Normal"/>
        <w:rPr/>
      </w:pPr>
      <w:r>
        <w:rPr/>
        <w:t>Any participant may open a dispute by identifying:</w:t>
      </w:r>
    </w:p>
    <w:p>
      <w:pPr>
        <w:pStyle w:val="Compact"/>
        <w:widowControl/>
        <w:numPr>
          <w:ilvl w:val="0"/>
          <w:numId w:val="1302"/>
        </w:numPr>
        <w:rPr/>
      </w:pPr>
      <w:r>
        <w:rPr/>
        <w:t>the affected result;</w:t>
      </w:r>
    </w:p>
    <w:p>
      <w:pPr>
        <w:pStyle w:val="Compact"/>
        <w:widowControl/>
        <w:numPr>
          <w:ilvl w:val="0"/>
          <w:numId w:val="1303"/>
        </w:numPr>
        <w:rPr/>
      </w:pPr>
      <w:r>
        <w:rPr/>
        <w:t>disputed observation or methodology;</w:t>
      </w:r>
    </w:p>
    <w:p>
      <w:pPr>
        <w:pStyle w:val="Compact"/>
        <w:widowControl/>
        <w:numPr>
          <w:ilvl w:val="0"/>
          <w:numId w:val="1304"/>
        </w:numPr>
        <w:rPr/>
      </w:pPr>
      <w:r>
        <w:rPr/>
        <w:t>reproducible evidence;</w:t>
      </w:r>
    </w:p>
    <w:p>
      <w:pPr>
        <w:pStyle w:val="Compact"/>
        <w:widowControl/>
        <w:numPr>
          <w:ilvl w:val="0"/>
          <w:numId w:val="1305"/>
        </w:numPr>
        <w:rPr/>
      </w:pPr>
      <w:r>
        <w:rPr/>
        <w:t>expected material effect;</w:t>
      </w:r>
    </w:p>
    <w:p>
      <w:pPr>
        <w:pStyle w:val="Compact"/>
        <w:widowControl/>
        <w:numPr>
          <w:ilvl w:val="0"/>
          <w:numId w:val="1306"/>
        </w:numPr>
        <w:rPr/>
      </w:pPr>
      <w:r>
        <w:rPr/>
        <w:t>conflict disclosures.</w:t>
      </w:r>
    </w:p>
    <w:p>
      <w:pPr>
        <w:pStyle w:val="Normal"/>
        <w:rPr/>
      </w:pPr>
      <w:bookmarkStart w:id="471" w:name="dispute-initiation"/>
      <w:r>
        <w:rPr/>
        <w:t>Spam deposits or reputation controls may be used, but valid public challenges must remain accessible.</w:t>
      </w:r>
      <w:bookmarkEnd w:id="471"/>
    </w:p>
    <w:p>
      <w:pPr>
        <w:pStyle w:val="Heading2"/>
        <w:keepNext w:val="true"/>
        <w:keepLines/>
        <w:widowControl/>
        <w:rPr/>
      </w:pPr>
      <w:bookmarkStart w:id="472" w:name="__RefHeading___Toc8641_528838595"/>
      <w:bookmarkEnd w:id="472"/>
      <w:r>
        <w:rPr/>
        <w:t>28.5 Dispute states</w:t>
      </w:r>
    </w:p>
    <w:p>
      <w:pPr>
        <w:pStyle w:val="Normal"/>
        <w:rPr/>
      </w:pPr>
      <w:r>
        <w:rPr/>
        <w:t>A dispute progresses through:</w:t>
      </w:r>
    </w:p>
    <w:p>
      <w:pPr>
        <w:pStyle w:val="Compact"/>
        <w:widowControl/>
        <w:numPr>
          <w:ilvl w:val="0"/>
          <w:numId w:val="1307"/>
        </w:numPr>
        <w:rPr/>
      </w:pPr>
      <w:r>
        <w:rPr/>
        <w:t>submitted;</w:t>
      </w:r>
    </w:p>
    <w:p>
      <w:pPr>
        <w:pStyle w:val="Compact"/>
        <w:widowControl/>
        <w:numPr>
          <w:ilvl w:val="0"/>
          <w:numId w:val="1308"/>
        </w:numPr>
        <w:rPr/>
      </w:pPr>
      <w:r>
        <w:rPr/>
        <w:t>triaged;</w:t>
      </w:r>
    </w:p>
    <w:p>
      <w:pPr>
        <w:pStyle w:val="Compact"/>
        <w:widowControl/>
        <w:numPr>
          <w:ilvl w:val="0"/>
          <w:numId w:val="1309"/>
        </w:numPr>
        <w:rPr/>
      </w:pPr>
      <w:r>
        <w:rPr/>
        <w:t>evidence collection;</w:t>
      </w:r>
    </w:p>
    <w:p>
      <w:pPr>
        <w:pStyle w:val="Compact"/>
        <w:widowControl/>
        <w:numPr>
          <w:ilvl w:val="0"/>
          <w:numId w:val="1310"/>
        </w:numPr>
        <w:rPr/>
      </w:pPr>
      <w:r>
        <w:rPr/>
        <w:t>independent replication;</w:t>
      </w:r>
    </w:p>
    <w:p>
      <w:pPr>
        <w:pStyle w:val="Compact"/>
        <w:widowControl/>
        <w:numPr>
          <w:ilvl w:val="0"/>
          <w:numId w:val="1311"/>
        </w:numPr>
        <w:rPr/>
      </w:pPr>
      <w:r>
        <w:rPr/>
        <w:t>proposed resolution;</w:t>
      </w:r>
    </w:p>
    <w:p>
      <w:pPr>
        <w:pStyle w:val="Compact"/>
        <w:widowControl/>
        <w:numPr>
          <w:ilvl w:val="0"/>
          <w:numId w:val="1312"/>
        </w:numPr>
        <w:rPr/>
      </w:pPr>
      <w:r>
        <w:rPr/>
        <w:t>governance decision;</w:t>
      </w:r>
    </w:p>
    <w:p>
      <w:pPr>
        <w:pStyle w:val="Compact"/>
        <w:widowControl/>
        <w:numPr>
          <w:ilvl w:val="0"/>
          <w:numId w:val="1313"/>
        </w:numPr>
        <w:rPr/>
      </w:pPr>
      <w:r>
        <w:rPr/>
        <w:t>implementation and post-mortem.</w:t>
      </w:r>
    </w:p>
    <w:p>
      <w:pPr>
        <w:pStyle w:val="Normal"/>
        <w:rPr/>
      </w:pPr>
      <w:bookmarkStart w:id="473" w:name="dispute-states"/>
      <w:r>
        <w:rPr/>
        <w:t>Material disputes are visible in VoxUI. The system does not silently fix a result while presenting it as unchanged.</w:t>
      </w:r>
      <w:bookmarkEnd w:id="473"/>
    </w:p>
    <w:p>
      <w:pPr>
        <w:pStyle w:val="Heading2"/>
        <w:keepNext w:val="true"/>
        <w:keepLines/>
        <w:widowControl/>
        <w:rPr/>
      </w:pPr>
      <w:bookmarkStart w:id="474" w:name="__RefHeading___Toc8643_528838595"/>
      <w:bookmarkEnd w:id="474"/>
      <w:r>
        <w:rPr/>
        <w:t>28.6 Correction classes</w:t>
      </w:r>
    </w:p>
    <w:p>
      <w:pPr>
        <w:pStyle w:val="Normal"/>
        <w:rPr/>
      </w:pPr>
      <w:r>
        <w:rPr/>
        <w:t>Corrections are classified as:</w:t>
      </w:r>
    </w:p>
    <w:p>
      <w:pPr>
        <w:pStyle w:val="Compact"/>
        <w:widowControl/>
        <w:numPr>
          <w:ilvl w:val="0"/>
          <w:numId w:val="1314"/>
        </w:numPr>
        <w:rPr/>
      </w:pPr>
      <w:r>
        <w:rPr>
          <w:b/>
          <w:bCs/>
        </w:rPr>
        <w:t>source correction</w:t>
      </w:r>
      <w:r>
        <w:rPr/>
        <w:t xml:space="preserve"> — upstream observation changed;</w:t>
      </w:r>
    </w:p>
    <w:p>
      <w:pPr>
        <w:pStyle w:val="Compact"/>
        <w:widowControl/>
        <w:numPr>
          <w:ilvl w:val="0"/>
          <w:numId w:val="1315"/>
        </w:numPr>
        <w:rPr/>
      </w:pPr>
      <w:r>
        <w:rPr>
          <w:b/>
          <w:bCs/>
        </w:rPr>
        <w:t>adapter defect</w:t>
      </w:r>
      <w:r>
        <w:rPr/>
        <w:t xml:space="preserve"> — extraction or transformation error;</w:t>
      </w:r>
    </w:p>
    <w:p>
      <w:pPr>
        <w:pStyle w:val="Compact"/>
        <w:widowControl/>
        <w:numPr>
          <w:ilvl w:val="0"/>
          <w:numId w:val="1316"/>
        </w:numPr>
        <w:rPr/>
      </w:pPr>
      <w:r>
        <w:rPr>
          <w:b/>
          <w:bCs/>
        </w:rPr>
        <w:t>methodology defect</w:t>
      </w:r>
      <w:r>
        <w:rPr/>
        <w:t xml:space="preserve"> — intended model produces invalid behaviour;</w:t>
      </w:r>
    </w:p>
    <w:p>
      <w:pPr>
        <w:pStyle w:val="Compact"/>
        <w:widowControl/>
        <w:numPr>
          <w:ilvl w:val="0"/>
          <w:numId w:val="1317"/>
        </w:numPr>
        <w:rPr/>
      </w:pPr>
      <w:r>
        <w:rPr>
          <w:b/>
          <w:bCs/>
        </w:rPr>
        <w:t>scope correction</w:t>
      </w:r>
      <w:r>
        <w:rPr/>
        <w:t xml:space="preserve"> — network or asset counted incorrectly;</w:t>
      </w:r>
    </w:p>
    <w:p>
      <w:pPr>
        <w:pStyle w:val="Compact"/>
        <w:widowControl/>
        <w:numPr>
          <w:ilvl w:val="0"/>
          <w:numId w:val="1318"/>
        </w:numPr>
        <w:rPr/>
      </w:pPr>
      <w:r>
        <w:rPr>
          <w:b/>
          <w:bCs/>
        </w:rPr>
        <w:t>label update</w:t>
      </w:r>
      <w:r>
        <w:rPr/>
        <w:t xml:space="preserve"> — improved entity or application classification.</w:t>
      </w:r>
    </w:p>
    <w:p>
      <w:pPr>
        <w:pStyle w:val="Normal"/>
        <w:rPr/>
      </w:pPr>
      <w:bookmarkStart w:id="475" w:name="versioning-audit-and-dispute-resolution"/>
      <w:bookmarkStart w:id="476" w:name="correction-classes"/>
      <w:r>
        <w:rPr/>
        <w:t>The correction class determines whether a patch, minor or major version is required.</w:t>
      </w:r>
      <w:bookmarkEnd w:id="475"/>
      <w:bookmarkEnd w:id="476"/>
    </w:p>
    <w:p>
      <w:pPr>
        <w:pStyle w:val="Heading1"/>
        <w:keepNext w:val="true"/>
        <w:keepLines/>
        <w:widowControl/>
        <w:pBdr>
          <w:bottom w:val="single" w:sz="6" w:space="5" w:color="8AB2BF"/>
        </w:pBdr>
        <w:jc w:val="start"/>
        <w:rPr/>
      </w:pPr>
      <w:bookmarkStart w:id="477" w:name="__RefHeading___Toc8645_528838595"/>
      <w:bookmarkEnd w:id="477"/>
      <w:r>
        <w:rPr/>
        <w:t>29. VoxUI Transparency Layer</w:t>
      </w:r>
    </w:p>
    <w:p>
      <w:pPr>
        <w:pStyle w:val="Heading2"/>
        <w:keepNext w:val="true"/>
        <w:keepLines/>
        <w:widowControl/>
        <w:rPr/>
      </w:pPr>
      <w:bookmarkStart w:id="478" w:name="__RefHeading___Toc8647_528838595"/>
      <w:bookmarkEnd w:id="478"/>
      <w:r>
        <w:rPr/>
        <w:t>29.1 Purpose</w:t>
      </w:r>
    </w:p>
    <w:p>
      <w:pPr>
        <w:pStyle w:val="Normal"/>
        <w:rPr/>
      </w:pPr>
      <w:bookmarkStart w:id="479" w:name="purpose-12"/>
      <w:r>
        <w:rPr/>
        <w:t>VoxUI is the public interface through which anyone can inspect, compare and reproduce Voxonomics outputs. It is not merely a ranking screen. It is an evidence and governance terminal.</w:t>
      </w:r>
      <w:bookmarkEnd w:id="479"/>
    </w:p>
    <w:p>
      <w:pPr>
        <w:pStyle w:val="Heading2"/>
        <w:keepNext w:val="true"/>
        <w:keepLines/>
        <w:widowControl/>
        <w:rPr/>
      </w:pPr>
      <w:bookmarkStart w:id="480" w:name="__RefHeading___Toc8649_528838595"/>
      <w:bookmarkEnd w:id="480"/>
      <w:r>
        <w:rPr/>
        <w:t>29.2 Network dashboard</w:t>
      </w:r>
    </w:p>
    <w:p>
      <w:pPr>
        <w:pStyle w:val="Normal"/>
        <w:rPr/>
      </w:pPr>
      <w:r>
        <w:rPr/>
        <w:t>Each network dashboard displays:</w:t>
      </w:r>
    </w:p>
    <w:p>
      <w:pPr>
        <w:pStyle w:val="Compact"/>
        <w:widowControl/>
        <w:numPr>
          <w:ilvl w:val="0"/>
          <w:numId w:val="1319"/>
        </w:numPr>
        <w:rPr/>
      </w:pPr>
      <w:r>
        <w:rPr/>
        <w:t>VTS and VTS_core;</w:t>
      </w:r>
    </w:p>
    <w:p>
      <w:pPr>
        <w:pStyle w:val="Compact"/>
        <w:widowControl/>
        <w:numPr>
          <w:ilvl w:val="0"/>
          <w:numId w:val="1320"/>
        </w:numPr>
        <w:rPr/>
      </w:pPr>
      <w:r>
        <w:rPr/>
        <w:t>ERU-relative history;</w:t>
      </w:r>
    </w:p>
    <w:p>
      <w:pPr>
        <w:pStyle w:val="Compact"/>
        <w:widowControl/>
        <w:numPr>
          <w:ilvl w:val="0"/>
          <w:numId w:val="1321"/>
        </w:numPr>
        <w:rPr/>
      </w:pPr>
      <w:r>
        <w:rPr/>
        <w:t>six parent-index radar and time series;</w:t>
      </w:r>
    </w:p>
    <w:p>
      <w:pPr>
        <w:pStyle w:val="Compact"/>
        <w:widowControl/>
        <w:numPr>
          <w:ilvl w:val="0"/>
          <w:numId w:val="1322"/>
        </w:numPr>
        <w:rPr/>
      </w:pPr>
      <w:r>
        <w:rPr/>
        <w:t>sub-index contribution waterfall;</w:t>
      </w:r>
    </w:p>
    <w:p>
      <w:pPr>
        <w:pStyle w:val="Compact"/>
        <w:widowControl/>
        <w:numPr>
          <w:ilvl w:val="0"/>
          <w:numId w:val="1323"/>
        </w:numPr>
        <w:rPr/>
      </w:pPr>
      <w:r>
        <w:rPr/>
        <w:t>VRI and Opportunity Gap;</w:t>
      </w:r>
    </w:p>
    <w:p>
      <w:pPr>
        <w:pStyle w:val="Compact"/>
        <w:widowControl/>
        <w:numPr>
          <w:ilvl w:val="0"/>
          <w:numId w:val="1324"/>
        </w:numPr>
        <w:rPr/>
      </w:pPr>
      <w:r>
        <w:rPr/>
        <w:t>VRS and domain breakdown;</w:t>
      </w:r>
    </w:p>
    <w:p>
      <w:pPr>
        <w:pStyle w:val="Compact"/>
        <w:widowControl/>
        <w:numPr>
          <w:ilvl w:val="0"/>
          <w:numId w:val="1325"/>
        </w:numPr>
        <w:rPr/>
      </w:pPr>
      <w:r>
        <w:rPr/>
        <w:t>VCS and evidence coverage;</w:t>
      </w:r>
    </w:p>
    <w:p>
      <w:pPr>
        <w:pStyle w:val="Compact"/>
        <w:widowControl/>
        <w:numPr>
          <w:ilvl w:val="0"/>
          <w:numId w:val="1326"/>
        </w:numPr>
        <w:rPr/>
      </w:pPr>
      <w:r>
        <w:rPr/>
        <w:t>data freshness and source status;</w:t>
      </w:r>
    </w:p>
    <w:p>
      <w:pPr>
        <w:pStyle w:val="Compact"/>
        <w:widowControl/>
        <w:numPr>
          <w:ilvl w:val="0"/>
          <w:numId w:val="1327"/>
        </w:numPr>
        <w:rPr/>
      </w:pPr>
      <w:r>
        <w:rPr/>
        <w:t>adapter and methodology versions;</w:t>
      </w:r>
    </w:p>
    <w:p>
      <w:pPr>
        <w:pStyle w:val="Compact"/>
        <w:widowControl/>
        <w:numPr>
          <w:ilvl w:val="0"/>
          <w:numId w:val="1328"/>
        </w:numPr>
        <w:rPr/>
      </w:pPr>
      <w:bookmarkStart w:id="481" w:name="network-dashboard"/>
      <w:r>
        <w:rPr/>
        <w:t>open disputes and material events.</w:t>
      </w:r>
      <w:bookmarkEnd w:id="481"/>
    </w:p>
    <w:p>
      <w:pPr>
        <w:pStyle w:val="Heading2"/>
        <w:keepNext w:val="true"/>
        <w:keepLines/>
        <w:widowControl/>
        <w:rPr/>
      </w:pPr>
      <w:bookmarkStart w:id="482" w:name="__RefHeading___Toc8651_528838595"/>
      <w:bookmarkEnd w:id="482"/>
      <w:r>
        <w:rPr/>
        <w:t>29.3 Evidence explorer</w:t>
      </w:r>
    </w:p>
    <w:p>
      <w:pPr>
        <w:pStyle w:val="Normal"/>
        <w:rPr/>
      </w:pPr>
      <w:r>
        <w:rPr/>
        <w:t>Users can move from a headline score to:</w:t>
      </w:r>
    </w:p>
    <w:p>
      <w:pPr>
        <w:pStyle w:val="Compact"/>
        <w:widowControl/>
        <w:numPr>
          <w:ilvl w:val="0"/>
          <w:numId w:val="1329"/>
        </w:numPr>
        <w:rPr/>
      </w:pPr>
      <w:r>
        <w:rPr/>
        <w:t>parent index;</w:t>
      </w:r>
    </w:p>
    <w:p>
      <w:pPr>
        <w:pStyle w:val="Compact"/>
        <w:widowControl/>
        <w:numPr>
          <w:ilvl w:val="0"/>
          <w:numId w:val="1330"/>
        </w:numPr>
        <w:rPr/>
      </w:pPr>
      <w:r>
        <w:rPr/>
        <w:t>sub-index;</w:t>
      </w:r>
    </w:p>
    <w:p>
      <w:pPr>
        <w:pStyle w:val="Compact"/>
        <w:widowControl/>
        <w:numPr>
          <w:ilvl w:val="0"/>
          <w:numId w:val="1331"/>
        </w:numPr>
        <w:rPr/>
      </w:pPr>
      <w:r>
        <w:rPr/>
        <w:t>normalised score;</w:t>
      </w:r>
    </w:p>
    <w:p>
      <w:pPr>
        <w:pStyle w:val="Compact"/>
        <w:widowControl/>
        <w:numPr>
          <w:ilvl w:val="0"/>
          <w:numId w:val="1332"/>
        </w:numPr>
        <w:rPr/>
      </w:pPr>
      <w:r>
        <w:rPr/>
        <w:t>transformed observation;</w:t>
      </w:r>
    </w:p>
    <w:p>
      <w:pPr>
        <w:pStyle w:val="Compact"/>
        <w:widowControl/>
        <w:numPr>
          <w:ilvl w:val="0"/>
          <w:numId w:val="1333"/>
        </w:numPr>
        <w:rPr/>
      </w:pPr>
      <w:r>
        <w:rPr/>
        <w:t>raw source value;</w:t>
      </w:r>
    </w:p>
    <w:p>
      <w:pPr>
        <w:pStyle w:val="Compact"/>
        <w:widowControl/>
        <w:numPr>
          <w:ilvl w:val="0"/>
          <w:numId w:val="1334"/>
        </w:numPr>
        <w:rPr/>
      </w:pPr>
      <w:r>
        <w:rPr/>
        <w:t>extraction query or code;</w:t>
      </w:r>
    </w:p>
    <w:p>
      <w:pPr>
        <w:pStyle w:val="Compact"/>
        <w:widowControl/>
        <w:numPr>
          <w:ilvl w:val="0"/>
          <w:numId w:val="1335"/>
        </w:numPr>
        <w:rPr/>
      </w:pPr>
      <w:r>
        <w:rPr/>
        <w:t>source and block range.</w:t>
      </w:r>
    </w:p>
    <w:p>
      <w:pPr>
        <w:pStyle w:val="Normal"/>
        <w:rPr/>
      </w:pPr>
      <w:bookmarkStart w:id="483" w:name="evidence-explorer"/>
      <w:r>
        <w:rPr/>
        <w:t>This drill-down is central to the framework’s claim of transparency.</w:t>
      </w:r>
      <w:bookmarkEnd w:id="483"/>
    </w:p>
    <w:p>
      <w:pPr>
        <w:pStyle w:val="Heading2"/>
        <w:keepNext w:val="true"/>
        <w:keepLines/>
        <w:widowControl/>
        <w:rPr/>
      </w:pPr>
      <w:bookmarkStart w:id="484" w:name="__RefHeading___Toc8653_528838595"/>
      <w:bookmarkEnd w:id="484"/>
      <w:r>
        <w:rPr/>
        <w:t>29.4 Comparative analysis</w:t>
      </w:r>
    </w:p>
    <w:p>
      <w:pPr>
        <w:pStyle w:val="Normal"/>
        <w:rPr/>
      </w:pPr>
      <w:r>
        <w:rPr/>
        <w:t>VoxUI supports:</w:t>
      </w:r>
    </w:p>
    <w:p>
      <w:pPr>
        <w:pStyle w:val="Compact"/>
        <w:widowControl/>
        <w:numPr>
          <w:ilvl w:val="0"/>
          <w:numId w:val="1336"/>
        </w:numPr>
        <w:rPr/>
      </w:pPr>
      <w:r>
        <w:rPr/>
        <w:t>side-by-side network comparison;</w:t>
      </w:r>
    </w:p>
    <w:p>
      <w:pPr>
        <w:pStyle w:val="Compact"/>
        <w:widowControl/>
        <w:numPr>
          <w:ilvl w:val="0"/>
          <w:numId w:val="1337"/>
        </w:numPr>
        <w:rPr/>
      </w:pPr>
      <w:r>
        <w:rPr/>
        <w:t>fixed-date and historical snapshots;</w:t>
      </w:r>
    </w:p>
    <w:p>
      <w:pPr>
        <w:pStyle w:val="Compact"/>
        <w:widowControl/>
        <w:numPr>
          <w:ilvl w:val="0"/>
          <w:numId w:val="1338"/>
        </w:numPr>
        <w:rPr/>
      </w:pPr>
      <w:r>
        <w:rPr/>
        <w:t>VTS versus VRI scatter plots;</w:t>
      </w:r>
    </w:p>
    <w:p>
      <w:pPr>
        <w:pStyle w:val="Compact"/>
        <w:widowControl/>
        <w:numPr>
          <w:ilvl w:val="0"/>
          <w:numId w:val="1339"/>
        </w:numPr>
        <w:rPr/>
      </w:pPr>
      <w:r>
        <w:rPr/>
        <w:t>Opportunity Gap rankings filtered by VCS and VRS;</w:t>
      </w:r>
    </w:p>
    <w:p>
      <w:pPr>
        <w:pStyle w:val="Compact"/>
        <w:widowControl/>
        <w:numPr>
          <w:ilvl w:val="0"/>
          <w:numId w:val="1340"/>
        </w:numPr>
        <w:rPr/>
      </w:pPr>
      <w:r>
        <w:rPr/>
        <w:t>ERU-relative performance;</w:t>
      </w:r>
    </w:p>
    <w:p>
      <w:pPr>
        <w:pStyle w:val="Compact"/>
        <w:widowControl/>
        <w:numPr>
          <w:ilvl w:val="0"/>
          <w:numId w:val="1341"/>
        </w:numPr>
        <w:rPr/>
      </w:pPr>
      <w:r>
        <w:rPr/>
        <w:t>architecture and ecosystem cohorts;</w:t>
      </w:r>
    </w:p>
    <w:p>
      <w:pPr>
        <w:pStyle w:val="Compact"/>
        <w:widowControl/>
        <w:numPr>
          <w:ilvl w:val="0"/>
          <w:numId w:val="1342"/>
        </w:numPr>
        <w:rPr/>
      </w:pPr>
      <w:r>
        <w:rPr/>
        <w:t>stress-event comparison;</w:t>
      </w:r>
    </w:p>
    <w:p>
      <w:pPr>
        <w:pStyle w:val="Compact"/>
        <w:widowControl/>
        <w:numPr>
          <w:ilvl w:val="0"/>
          <w:numId w:val="1343"/>
        </w:numPr>
        <w:rPr/>
      </w:pPr>
      <w:r>
        <w:rPr/>
        <w:t>correlation and sensitivity tools;</w:t>
      </w:r>
    </w:p>
    <w:p>
      <w:pPr>
        <w:pStyle w:val="Compact"/>
        <w:widowControl/>
        <w:numPr>
          <w:ilvl w:val="0"/>
          <w:numId w:val="1344"/>
        </w:numPr>
        <w:rPr/>
      </w:pPr>
      <w:bookmarkStart w:id="485" w:name="comparative-analysis"/>
      <w:r>
        <w:rPr/>
        <w:t>V-FOREX reference pair charts.</w:t>
      </w:r>
      <w:bookmarkEnd w:id="485"/>
    </w:p>
    <w:p>
      <w:pPr>
        <w:pStyle w:val="Heading2"/>
        <w:keepNext w:val="true"/>
        <w:keepLines/>
        <w:widowControl/>
        <w:rPr/>
      </w:pPr>
      <w:bookmarkStart w:id="486" w:name="__RefHeading___Toc8655_528838595"/>
      <w:bookmarkEnd w:id="486"/>
      <w:r>
        <w:rPr/>
        <w:t>29.5 Governance interface</w:t>
      </w:r>
    </w:p>
    <w:p>
      <w:pPr>
        <w:pStyle w:val="Normal"/>
        <w:rPr/>
      </w:pPr>
      <w:bookmarkStart w:id="487" w:name="governance-interface"/>
      <w:r>
        <w:rPr/>
        <w:t>The governance interface displays proposal text, code and configuration diffs, simulations, votes, delegates, conflicts, timelocks and execution state. Every activated change links to the methodology version it created.</w:t>
      </w:r>
      <w:bookmarkEnd w:id="487"/>
    </w:p>
    <w:p>
      <w:pPr>
        <w:pStyle w:val="Heading2"/>
        <w:keepNext w:val="true"/>
        <w:keepLines/>
        <w:widowControl/>
        <w:rPr/>
      </w:pPr>
      <w:bookmarkStart w:id="488" w:name="__RefHeading___Toc8657_528838595"/>
      <w:bookmarkEnd w:id="488"/>
      <w:r>
        <w:rPr/>
        <w:t>29.6 Public audit interface</w:t>
      </w:r>
    </w:p>
    <w:p>
      <w:pPr>
        <w:pStyle w:val="Normal"/>
        <w:rPr/>
      </w:pPr>
      <w:r>
        <w:rPr/>
        <w:t>The audit interface enables download of:</w:t>
      </w:r>
    </w:p>
    <w:p>
      <w:pPr>
        <w:pStyle w:val="Compact"/>
        <w:widowControl/>
        <w:numPr>
          <w:ilvl w:val="0"/>
          <w:numId w:val="1345"/>
        </w:numPr>
        <w:rPr/>
      </w:pPr>
      <w:r>
        <w:rPr/>
        <w:t>raw and transformed observations;</w:t>
      </w:r>
    </w:p>
    <w:p>
      <w:pPr>
        <w:pStyle w:val="Compact"/>
        <w:widowControl/>
        <w:numPr>
          <w:ilvl w:val="0"/>
          <w:numId w:val="1346"/>
        </w:numPr>
        <w:rPr/>
      </w:pPr>
      <w:r>
        <w:rPr/>
        <w:t>calculation manifests;</w:t>
      </w:r>
    </w:p>
    <w:p>
      <w:pPr>
        <w:pStyle w:val="Compact"/>
        <w:widowControl/>
        <w:numPr>
          <w:ilvl w:val="0"/>
          <w:numId w:val="1347"/>
        </w:numPr>
        <w:rPr/>
      </w:pPr>
      <w:r>
        <w:rPr/>
        <w:t>signed result snapshots;</w:t>
      </w:r>
    </w:p>
    <w:p>
      <w:pPr>
        <w:pStyle w:val="Compact"/>
        <w:widowControl/>
        <w:numPr>
          <w:ilvl w:val="0"/>
          <w:numId w:val="1348"/>
        </w:numPr>
        <w:rPr/>
      </w:pPr>
      <w:r>
        <w:rPr/>
        <w:t>adapter source and build hashes;</w:t>
      </w:r>
    </w:p>
    <w:p>
      <w:pPr>
        <w:pStyle w:val="Compact"/>
        <w:widowControl/>
        <w:numPr>
          <w:ilvl w:val="0"/>
          <w:numId w:val="1349"/>
        </w:numPr>
        <w:rPr/>
      </w:pPr>
      <w:r>
        <w:rPr/>
        <w:t>benchmark configuration;</w:t>
      </w:r>
    </w:p>
    <w:p>
      <w:pPr>
        <w:pStyle w:val="Compact"/>
        <w:widowControl/>
        <w:numPr>
          <w:ilvl w:val="0"/>
          <w:numId w:val="1350"/>
        </w:numPr>
        <w:rPr/>
      </w:pPr>
      <w:r>
        <w:rPr/>
        <w:t>historical versions;</w:t>
      </w:r>
    </w:p>
    <w:p>
      <w:pPr>
        <w:pStyle w:val="Compact"/>
        <w:widowControl/>
        <w:numPr>
          <w:ilvl w:val="0"/>
          <w:numId w:val="1351"/>
        </w:numPr>
        <w:rPr/>
      </w:pPr>
      <w:bookmarkStart w:id="489" w:name="public-audit-interface"/>
      <w:r>
        <w:rPr/>
        <w:t>dispute and correction records.</w:t>
      </w:r>
      <w:bookmarkEnd w:id="489"/>
    </w:p>
    <w:p>
      <w:pPr>
        <w:pStyle w:val="Heading2"/>
        <w:keepNext w:val="true"/>
        <w:keepLines/>
        <w:widowControl/>
        <w:rPr/>
      </w:pPr>
      <w:bookmarkStart w:id="490" w:name="__RefHeading___Toc8659_528838595"/>
      <w:bookmarkEnd w:id="490"/>
      <w:r>
        <w:rPr/>
        <w:t>29.7 Accessibility and clarity</w:t>
      </w:r>
    </w:p>
    <w:p>
      <w:pPr>
        <w:pStyle w:val="Normal"/>
        <w:rPr/>
      </w:pPr>
      <w:bookmarkStart w:id="491" w:name="voxui-transparency-layer"/>
      <w:bookmarkStart w:id="492" w:name="accessibility-and-clarity"/>
      <w:r>
        <w:rPr/>
        <w:t>VoxUI must avoid presenting complex outputs as unexplained scores. Every page provides plain-language interpretation, technical definitions and warnings. Colour is not the only carrier of meaning. Data tables and machine-readable downloads are available for accessibility and research.</w:t>
      </w:r>
      <w:bookmarkEnd w:id="491"/>
      <w:bookmarkEnd w:id="492"/>
    </w:p>
    <w:p>
      <w:pPr>
        <w:pStyle w:val="Heading1"/>
        <w:keepNext w:val="true"/>
        <w:keepLines/>
        <w:widowControl/>
        <w:pBdr>
          <w:bottom w:val="single" w:sz="6" w:space="5" w:color="8AB2BF"/>
        </w:pBdr>
        <w:jc w:val="start"/>
        <w:rPr/>
      </w:pPr>
      <w:bookmarkStart w:id="493" w:name="__RefHeading___Toc8661_528838595"/>
      <w:bookmarkEnd w:id="493"/>
      <w:r>
        <w:rPr/>
        <w:t>30. Voxonomics API and Reproducibility Standard</w:t>
      </w:r>
    </w:p>
    <w:p>
      <w:pPr>
        <w:pStyle w:val="Heading2"/>
        <w:keepNext w:val="true"/>
        <w:keepLines/>
        <w:widowControl/>
        <w:rPr/>
      </w:pPr>
      <w:bookmarkStart w:id="494" w:name="__RefHeading___Toc8663_528838595"/>
      <w:bookmarkEnd w:id="494"/>
      <w:r>
        <w:rPr/>
        <w:t>30.1 API principles</w:t>
      </w:r>
    </w:p>
    <w:p>
      <w:pPr>
        <w:pStyle w:val="Normal"/>
        <w:rPr/>
      </w:pPr>
      <w:r>
        <w:rPr/>
        <w:t>The Voxonomics API is:</w:t>
      </w:r>
    </w:p>
    <w:p>
      <w:pPr>
        <w:pStyle w:val="Compact"/>
        <w:widowControl/>
        <w:numPr>
          <w:ilvl w:val="0"/>
          <w:numId w:val="1352"/>
        </w:numPr>
        <w:rPr/>
      </w:pPr>
      <w:r>
        <w:rPr/>
        <w:t>public by default;</w:t>
      </w:r>
    </w:p>
    <w:p>
      <w:pPr>
        <w:pStyle w:val="Compact"/>
        <w:widowControl/>
        <w:numPr>
          <w:ilvl w:val="0"/>
          <w:numId w:val="1353"/>
        </w:numPr>
        <w:rPr/>
      </w:pPr>
      <w:r>
        <w:rPr/>
        <w:t>versioned;</w:t>
      </w:r>
    </w:p>
    <w:p>
      <w:pPr>
        <w:pStyle w:val="Compact"/>
        <w:widowControl/>
        <w:numPr>
          <w:ilvl w:val="0"/>
          <w:numId w:val="1354"/>
        </w:numPr>
        <w:rPr/>
      </w:pPr>
      <w:r>
        <w:rPr/>
        <w:t>deterministic for a fixed snapshot;</w:t>
      </w:r>
    </w:p>
    <w:p>
      <w:pPr>
        <w:pStyle w:val="Compact"/>
        <w:widowControl/>
        <w:numPr>
          <w:ilvl w:val="0"/>
          <w:numId w:val="1355"/>
        </w:numPr>
        <w:rPr/>
      </w:pPr>
      <w:r>
        <w:rPr/>
        <w:t>explicit about units, time and scope;</w:t>
      </w:r>
    </w:p>
    <w:p>
      <w:pPr>
        <w:pStyle w:val="Compact"/>
        <w:widowControl/>
        <w:numPr>
          <w:ilvl w:val="0"/>
          <w:numId w:val="1356"/>
        </w:numPr>
        <w:rPr/>
      </w:pPr>
      <w:r>
        <w:rPr/>
        <w:t>paginated and rate-limited fairly;</w:t>
      </w:r>
    </w:p>
    <w:p>
      <w:pPr>
        <w:pStyle w:val="Compact"/>
        <w:widowControl/>
        <w:numPr>
          <w:ilvl w:val="0"/>
          <w:numId w:val="1357"/>
        </w:numPr>
        <w:rPr/>
      </w:pPr>
      <w:r>
        <w:rPr/>
        <w:t>accompanied by bulk-download options;</w:t>
      </w:r>
    </w:p>
    <w:p>
      <w:pPr>
        <w:pStyle w:val="Compact"/>
        <w:widowControl/>
        <w:numPr>
          <w:ilvl w:val="0"/>
          <w:numId w:val="1358"/>
        </w:numPr>
        <w:rPr/>
      </w:pPr>
      <w:bookmarkStart w:id="495" w:name="api-principles"/>
      <w:r>
        <w:rPr/>
        <w:t>independent of proprietary client software.</w:t>
      </w:r>
      <w:bookmarkEnd w:id="495"/>
    </w:p>
    <w:p>
      <w:pPr>
        <w:pStyle w:val="Heading2"/>
        <w:keepNext w:val="true"/>
        <w:keepLines/>
        <w:widowControl/>
        <w:rPr/>
      </w:pPr>
      <w:bookmarkStart w:id="496" w:name="__RefHeading___Toc8665_528838595"/>
      <w:bookmarkEnd w:id="496"/>
      <w:r>
        <w:rPr/>
        <w:t>30.2 Core endpoint families</w:t>
      </w:r>
    </w:p>
    <w:p>
      <w:pPr>
        <w:pStyle w:val="Normal"/>
        <w:rPr/>
      </w:pPr>
      <w:r>
        <w:rPr/>
        <w:t>Illustrative endpoint families include:</w:t>
      </w:r>
    </w:p>
    <w:tbl>
      <w:tblPr>
        <w:tblStyle w:val="Table"/>
        <w:tblW w:w="7920" w:type="dxa"/>
        <w:jc w:val="center"/>
        <w:tblInd w:w="0" w:type="dxa"/>
        <w:tblLayout w:type="fixed"/>
        <w:tblCellMar>
          <w:top w:w="80" w:type="dxa"/>
          <w:start w:w="100" w:type="dxa"/>
          <w:bottom w:w="80" w:type="dxa"/>
          <w:end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Endpoint</w:t>
            </w:r>
          </w:p>
        </w:tc>
        <w:tc>
          <w:tcPr>
            <w:tcW w:w="395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Purpose</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/v1/networks</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Canonical network registry and scope</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/v1/scores/{network}</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Current VTS, VRI, Gap, VRS and VCS</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/v1/indices/{network}/{index}</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Parent and sub-index detail</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/v1/history/{network}</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Versioned historical series</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/v1/observations/{network}/{metric}</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Raw and transformed evidence</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/v1/eru</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Current and historical ERU benchmark</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/v1/vforex/{base}/{quote}</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Reference pair and confidence</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/v1/adapters</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Adapter versions, certification and source</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/v1/methodology</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Metric registry and benchmark configuration</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/v1/governance</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Proposals, decisions and version changes</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/v1/disputes</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Open and resolved disputes</w:t>
            </w:r>
            <w:bookmarkStart w:id="497" w:name="core-endpoint-families"/>
            <w:bookmarkEnd w:id="497"/>
          </w:p>
        </w:tc>
      </w:tr>
    </w:tbl>
    <w:p>
      <w:pPr>
        <w:pStyle w:val="Heading2"/>
        <w:keepNext w:val="true"/>
        <w:keepLines/>
        <w:widowControl/>
        <w:rPr/>
      </w:pPr>
      <w:bookmarkStart w:id="498" w:name="__RefHeading___Toc8667_528838595"/>
      <w:bookmarkEnd w:id="498"/>
      <w:r>
        <w:rPr/>
        <w:t>30.3 Score response</w:t>
      </w:r>
    </w:p>
    <w:p>
      <w:pPr>
        <w:pStyle w:val="Normal"/>
        <w:rPr/>
      </w:pPr>
      <w:r>
        <w:rPr/>
        <w:t>A score response includes, at minimum:</w:t>
      </w:r>
    </w:p>
    <w:p>
      <w:pPr>
        <w:pStyle w:val="SourceCode"/>
        <w:widowControl/>
        <w:rPr/>
      </w:pP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"network_id"</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"example-chain"</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"as_of"</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"2026-07-12T00:00:00Z"</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"framework_version"</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"3.1.0"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"adapter_version"</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"1.2.0"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"vts_core"</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6842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"eru_core"</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6250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"vts"</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1.09472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"indices"</w:t>
      </w:r>
      <w:r>
        <w:rPr>
          <w:rStyle w:val="FunctionTok"/>
          <w:rFonts w:ascii="DejaVu Sans Mono" w:hAnsi="DejaVu Sans Mono"/>
          <w:sz w:val="16"/>
        </w:rPr>
        <w:t>:</w:t>
      </w:r>
      <w:r>
        <w:rPr>
          <w:rStyle w:val="NormalTok"/>
          <w:rFonts w:ascii="DejaVu Sans Mono" w:hAnsi="DejaVu Sans Mono"/>
          <w:sz w:val="16"/>
        </w:rPr>
        <w:t xml:space="preserve"> </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"pov"</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72.0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"opi"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64.0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"dli"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70.0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"pii"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"rwai"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55.0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"eri"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74.5</w:t>
      </w:r>
      <w:r>
        <w:rPr>
          <w:rFonts w:ascii="DejaVu Sans Mono" w:hAnsi="DejaVu Sans Mono"/>
          <w:sz w:val="16"/>
        </w:rPr>
        <w:br/>
      </w:r>
      <w:r>
        <w:rPr>
          <w:rStyle w:val="NormalTok"/>
          <w:rFonts w:ascii="DejaVu Sans Mono" w:hAnsi="DejaVu Sans Mono"/>
          <w:sz w:val="16"/>
        </w:rPr>
        <w:t xml:space="preserve">  </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"vri"</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91</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"opportunity_gap"</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18472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"vrs"</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38</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"vcs"</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87</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"status"</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"high-confidence"</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"calculation_hash"</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w:t>
      </w:r>
      <w:r>
        <w:rPr>
          <w:rFonts w:ascii="DejaVu Sans Mono" w:hAnsi="DejaVu Sans Mono"/>
          <w:sz w:val="16"/>
        </w:rPr>
        <w:br/>
      </w:r>
      <w:r>
        <w:rPr>
          <w:rStyle w:val="FunctionTok"/>
          <w:rFonts w:ascii="DejaVu Sans Mono" w:hAnsi="DejaVu Sans Mono"/>
          <w:sz w:val="16"/>
        </w:rPr>
        <w:t>}</w:t>
      </w:r>
    </w:p>
    <w:p>
      <w:pPr>
        <w:pStyle w:val="Heading2"/>
        <w:keepNext w:val="true"/>
        <w:keepLines/>
        <w:widowControl/>
        <w:rPr/>
      </w:pPr>
      <w:bookmarkStart w:id="499" w:name="__RefHeading___Toc8669_528838595"/>
      <w:bookmarkEnd w:id="499"/>
      <w:r>
        <w:rPr/>
        <w:t>30.4 Snapshot reproducibility</w:t>
      </w:r>
    </w:p>
    <w:p>
      <w:pPr>
        <w:pStyle w:val="Normal"/>
        <w:rPr/>
      </w:pPr>
      <w:r>
        <w:rPr/>
        <w:t>Every official publication produces a snapshot manifest containing:</w:t>
      </w:r>
    </w:p>
    <w:p>
      <w:pPr>
        <w:pStyle w:val="Compact"/>
        <w:widowControl/>
        <w:numPr>
          <w:ilvl w:val="0"/>
          <w:numId w:val="1359"/>
        </w:numPr>
        <w:rPr/>
      </w:pPr>
      <w:r>
        <w:rPr/>
        <w:t>source observation hashes;</w:t>
      </w:r>
    </w:p>
    <w:p>
      <w:pPr>
        <w:pStyle w:val="Compact"/>
        <w:widowControl/>
        <w:numPr>
          <w:ilvl w:val="0"/>
          <w:numId w:val="1360"/>
        </w:numPr>
        <w:rPr/>
      </w:pPr>
      <w:r>
        <w:rPr/>
        <w:t>adapter commit hashes;</w:t>
      </w:r>
    </w:p>
    <w:p>
      <w:pPr>
        <w:pStyle w:val="Compact"/>
        <w:widowControl/>
        <w:numPr>
          <w:ilvl w:val="0"/>
          <w:numId w:val="1361"/>
        </w:numPr>
        <w:rPr/>
      </w:pPr>
      <w:r>
        <w:rPr/>
        <w:t>container or build image digest;</w:t>
      </w:r>
    </w:p>
    <w:p>
      <w:pPr>
        <w:pStyle w:val="Compact"/>
        <w:widowControl/>
        <w:numPr>
          <w:ilvl w:val="0"/>
          <w:numId w:val="1362"/>
        </w:numPr>
        <w:rPr/>
      </w:pPr>
      <w:r>
        <w:rPr/>
        <w:t>metric registry and benchmark files;</w:t>
      </w:r>
    </w:p>
    <w:p>
      <w:pPr>
        <w:pStyle w:val="Compact"/>
        <w:widowControl/>
        <w:numPr>
          <w:ilvl w:val="0"/>
          <w:numId w:val="1363"/>
        </w:numPr>
        <w:rPr/>
      </w:pPr>
      <w:r>
        <w:rPr/>
        <w:t>calculation output hash;</w:t>
      </w:r>
    </w:p>
    <w:p>
      <w:pPr>
        <w:pStyle w:val="Compact"/>
        <w:widowControl/>
        <w:numPr>
          <w:ilvl w:val="0"/>
          <w:numId w:val="1364"/>
        </w:numPr>
        <w:rPr/>
      </w:pPr>
      <w:r>
        <w:rPr/>
        <w:t>signature set;</w:t>
      </w:r>
    </w:p>
    <w:p>
      <w:pPr>
        <w:pStyle w:val="Compact"/>
        <w:widowControl/>
        <w:numPr>
          <w:ilvl w:val="0"/>
          <w:numId w:val="1365"/>
        </w:numPr>
        <w:rPr/>
      </w:pPr>
      <w:r>
        <w:rPr/>
        <w:t>timestamp and chain publication reference where applicable.</w:t>
      </w:r>
    </w:p>
    <w:p>
      <w:pPr>
        <w:pStyle w:val="Normal"/>
        <w:rPr/>
      </w:pPr>
      <w:bookmarkStart w:id="500" w:name="snapshot-reproducibility"/>
      <w:r>
        <w:rPr/>
        <w:t>A third party should be able to recreate the same result from the same snapshot.</w:t>
      </w:r>
      <w:bookmarkEnd w:id="500"/>
    </w:p>
    <w:p>
      <w:pPr>
        <w:pStyle w:val="Heading2"/>
        <w:keepNext w:val="true"/>
        <w:keepLines/>
        <w:widowControl/>
        <w:rPr/>
      </w:pPr>
      <w:bookmarkStart w:id="501" w:name="__RefHeading___Toc8671_528838595"/>
      <w:bookmarkEnd w:id="501"/>
      <w:r>
        <w:rPr/>
        <w:t>30.5 Authentication and private services</w:t>
      </w:r>
    </w:p>
    <w:p>
      <w:pPr>
        <w:pStyle w:val="Normal"/>
        <w:rPr/>
      </w:pPr>
      <w:bookmarkStart w:id="502" w:name="authentication-and-private-services"/>
      <w:r>
        <w:rPr/>
        <w:t>Public score and methodology endpoints do not require privileged access beyond reasonable abuse controls. Premium services may provide higher throughput, specialist analytics or compute, but the foundational data and calculation must remain publicly reproducible.</w:t>
      </w:r>
      <w:bookmarkEnd w:id="502"/>
    </w:p>
    <w:p>
      <w:pPr>
        <w:pStyle w:val="Heading2"/>
        <w:keepNext w:val="true"/>
        <w:keepLines/>
        <w:widowControl/>
        <w:rPr/>
      </w:pPr>
      <w:bookmarkStart w:id="503" w:name="__RefHeading___Toc8673_528838595"/>
      <w:bookmarkEnd w:id="503"/>
      <w:r>
        <w:rPr/>
        <w:t>30.6 Data licensing</w:t>
      </w:r>
    </w:p>
    <w:p>
      <w:pPr>
        <w:pStyle w:val="Normal"/>
        <w:rPr/>
      </w:pPr>
      <w:bookmarkStart w:id="504" w:name="data-licensing"/>
      <w:r>
        <w:rPr/>
        <w:t>The DAO records source licences and redistribution rights. A source that prohibits public verification cannot become the sole basis for a constitutional metric. Where redistribution is restricted, the framework publishes sufficient query and transformation logic for authorised users to reproduce the value.</w:t>
      </w:r>
      <w:bookmarkEnd w:id="504"/>
    </w:p>
    <w:p>
      <w:pPr>
        <w:pStyle w:val="Heading2"/>
        <w:keepNext w:val="true"/>
        <w:keepLines/>
        <w:widowControl/>
        <w:rPr/>
      </w:pPr>
      <w:bookmarkStart w:id="505" w:name="__RefHeading___Toc8675_528838595"/>
      <w:bookmarkEnd w:id="505"/>
      <w:r>
        <w:rPr/>
        <w:t>30.7 Signed publication</w:t>
      </w:r>
    </w:p>
    <w:p>
      <w:pPr>
        <w:pStyle w:val="Normal"/>
        <w:rPr/>
      </w:pPr>
      <w:bookmarkStart w:id="506" w:name="X7c82f4476299a7132a88b3a8cb145a1c30a2d4b"/>
      <w:bookmarkStart w:id="507" w:name="signed-publication"/>
      <w:r>
        <w:rPr/>
        <w:t>Official calculation nodes sign result manifests. Multiple independent publishers can produce the same result. Signatures establish provenance, not correctness; correctness remains verifiable from the data and code.</w:t>
      </w:r>
      <w:bookmarkEnd w:id="506"/>
      <w:bookmarkEnd w:id="507"/>
      <w:r>
        <w:br w:type="page"/>
      </w:r>
    </w:p>
    <w:p>
      <w:pPr>
        <w:pStyle w:val="PartTitle"/>
        <w:spacing w:before="0" w:after="360"/>
        <w:rPr/>
      </w:pPr>
      <w:bookmarkStart w:id="508" w:name="__RefHeading___Toc8677_528838595"/>
      <w:bookmarkStart w:id="509" w:name="X4b1da29bb10e0eb5876c0786bde04293af7d0df"/>
      <w:bookmarkEnd w:id="508"/>
      <w:r>
        <w:rPr/>
        <w:t>Part VII — Validation, Security and Limitations</w:t>
      </w:r>
      <w:bookmarkEnd w:id="509"/>
    </w:p>
    <w:p>
      <w:pPr>
        <w:pStyle w:val="Heading1"/>
        <w:keepNext w:val="true"/>
        <w:keepLines/>
        <w:widowControl/>
        <w:pBdr>
          <w:bottom w:val="single" w:sz="6" w:space="5" w:color="8AB2BF"/>
        </w:pBdr>
        <w:jc w:val="start"/>
        <w:rPr/>
      </w:pPr>
      <w:bookmarkStart w:id="510" w:name="__RefHeading___Toc8679_528838595"/>
      <w:bookmarkEnd w:id="510"/>
      <w:r>
        <w:rPr/>
        <w:t>31. Validation Framework</w:t>
      </w:r>
    </w:p>
    <w:p>
      <w:pPr>
        <w:pStyle w:val="Heading2"/>
        <w:keepNext w:val="true"/>
        <w:keepLines/>
        <w:widowControl/>
        <w:rPr/>
      </w:pPr>
      <w:bookmarkStart w:id="511" w:name="__RefHeading___Toc8681_528838595"/>
      <w:bookmarkStart w:id="512" w:name="validation-objectives"/>
      <w:bookmarkEnd w:id="511"/>
      <w:r>
        <w:rPr/>
        <w:t>31.1 Validation objectives</w:t>
      </w:r>
    </w:p>
    <w:p>
      <w:pPr>
        <w:pStyle w:val="Normal"/>
        <w:rPr/>
      </w:pPr>
      <w:r>
        <w:rPr/>
        <w:t>A measurement model is credible only when it is tested against explicit objectives. Voxonomics validation asks whether the framework is:</w:t>
      </w:r>
    </w:p>
    <w:p>
      <w:pPr>
        <w:pStyle w:val="Compact"/>
        <w:widowControl/>
        <w:numPr>
          <w:ilvl w:val="0"/>
          <w:numId w:val="1366"/>
        </w:numPr>
        <w:rPr/>
      </w:pPr>
      <w:r>
        <w:rPr>
          <w:b/>
          <w:bCs/>
        </w:rPr>
        <w:t>reproducible</w:t>
      </w:r>
      <w:r>
        <w:rPr/>
        <w:t xml:space="preserve"> — independent implementations produce the same result;</w:t>
      </w:r>
    </w:p>
    <w:p>
      <w:pPr>
        <w:pStyle w:val="Compact"/>
        <w:widowControl/>
        <w:numPr>
          <w:ilvl w:val="0"/>
          <w:numId w:val="1367"/>
        </w:numPr>
        <w:rPr/>
      </w:pPr>
      <w:r>
        <w:rPr>
          <w:b/>
          <w:bCs/>
        </w:rPr>
        <w:t>construct-valid</w:t>
      </w:r>
      <w:r>
        <w:rPr/>
        <w:t xml:space="preserve"> — each metric measures the economic concept it claims to measure;</w:t>
      </w:r>
    </w:p>
    <w:p>
      <w:pPr>
        <w:pStyle w:val="Compact"/>
        <w:widowControl/>
        <w:numPr>
          <w:ilvl w:val="0"/>
          <w:numId w:val="1368"/>
        </w:numPr>
        <w:rPr/>
      </w:pPr>
      <w:r>
        <w:rPr>
          <w:b/>
          <w:bCs/>
        </w:rPr>
        <w:t>comparable</w:t>
      </w:r>
      <w:r>
        <w:rPr/>
        <w:t xml:space="preserve"> — architecture differences do not create systematic unfairness;</w:t>
      </w:r>
    </w:p>
    <w:p>
      <w:pPr>
        <w:pStyle w:val="Compact"/>
        <w:widowControl/>
        <w:numPr>
          <w:ilvl w:val="0"/>
          <w:numId w:val="1369"/>
        </w:numPr>
        <w:rPr/>
      </w:pPr>
      <w:r>
        <w:rPr>
          <w:b/>
          <w:bCs/>
        </w:rPr>
        <w:t>stable</w:t>
      </w:r>
      <w:r>
        <w:rPr/>
        <w:t xml:space="preserve"> — small input changes do not create unreasonable output changes;</w:t>
      </w:r>
    </w:p>
    <w:p>
      <w:pPr>
        <w:pStyle w:val="Compact"/>
        <w:widowControl/>
        <w:numPr>
          <w:ilvl w:val="0"/>
          <w:numId w:val="1370"/>
        </w:numPr>
        <w:rPr/>
      </w:pPr>
      <w:r>
        <w:rPr>
          <w:b/>
          <w:bCs/>
        </w:rPr>
        <w:t>responsive</w:t>
      </w:r>
      <w:r>
        <w:rPr/>
        <w:t xml:space="preserve"> — material economic changes appear within an appropriate time;</w:t>
      </w:r>
    </w:p>
    <w:p>
      <w:pPr>
        <w:pStyle w:val="Compact"/>
        <w:widowControl/>
        <w:numPr>
          <w:ilvl w:val="0"/>
          <w:numId w:val="1371"/>
        </w:numPr>
        <w:rPr/>
      </w:pPr>
      <w:r>
        <w:rPr>
          <w:b/>
          <w:bCs/>
        </w:rPr>
        <w:t>predictively informative</w:t>
      </w:r>
      <w:r>
        <w:rPr/>
        <w:t xml:space="preserve"> — scores have useful relationships with future network outcomes without being presented as guarantees;</w:t>
      </w:r>
    </w:p>
    <w:p>
      <w:pPr>
        <w:pStyle w:val="Compact"/>
        <w:widowControl/>
        <w:numPr>
          <w:ilvl w:val="0"/>
          <w:numId w:val="1372"/>
        </w:numPr>
        <w:rPr/>
      </w:pPr>
      <w:r>
        <w:rPr>
          <w:b/>
          <w:bCs/>
        </w:rPr>
        <w:t>manipulation-resistant</w:t>
      </w:r>
      <w:r>
        <w:rPr/>
        <w:t xml:space="preserve"> — the cost of gaming exceeds plausible benefit;</w:t>
      </w:r>
    </w:p>
    <w:p>
      <w:pPr>
        <w:pStyle w:val="Compact"/>
        <w:widowControl/>
        <w:numPr>
          <w:ilvl w:val="0"/>
          <w:numId w:val="1373"/>
        </w:numPr>
        <w:rPr/>
      </w:pPr>
      <w:r>
        <w:rPr>
          <w:b/>
          <w:bCs/>
        </w:rPr>
        <w:t>interpretable</w:t>
      </w:r>
      <w:r>
        <w:rPr/>
        <w:t xml:space="preserve"> — users can understand why a score changed.</w:t>
      </w:r>
      <w:bookmarkEnd w:id="512"/>
    </w:p>
    <w:p>
      <w:pPr>
        <w:pStyle w:val="Heading2"/>
        <w:keepNext w:val="true"/>
        <w:keepLines/>
        <w:widowControl/>
        <w:rPr/>
      </w:pPr>
      <w:bookmarkStart w:id="513" w:name="__RefHeading___Toc8683_528838595"/>
      <w:bookmarkEnd w:id="513"/>
      <w:r>
        <w:rPr/>
        <w:t>31.2 Unit and integration testing</w:t>
      </w:r>
    </w:p>
    <w:p>
      <w:pPr>
        <w:pStyle w:val="Normal"/>
        <w:rPr/>
      </w:pPr>
      <w:r>
        <w:rPr/>
        <w:t>Every adapter and calculation module includes:</w:t>
      </w:r>
    </w:p>
    <w:p>
      <w:pPr>
        <w:pStyle w:val="Compact"/>
        <w:widowControl/>
        <w:numPr>
          <w:ilvl w:val="0"/>
          <w:numId w:val="1374"/>
        </w:numPr>
        <w:rPr/>
      </w:pPr>
      <w:r>
        <w:rPr/>
        <w:t>deterministic unit tests;</w:t>
      </w:r>
    </w:p>
    <w:p>
      <w:pPr>
        <w:pStyle w:val="Compact"/>
        <w:widowControl/>
        <w:numPr>
          <w:ilvl w:val="0"/>
          <w:numId w:val="1375"/>
        </w:numPr>
        <w:rPr/>
      </w:pPr>
      <w:r>
        <w:rPr/>
        <w:t>boundary and decimal tests;</w:t>
      </w:r>
    </w:p>
    <w:p>
      <w:pPr>
        <w:pStyle w:val="Compact"/>
        <w:widowControl/>
        <w:numPr>
          <w:ilvl w:val="0"/>
          <w:numId w:val="1376"/>
        </w:numPr>
        <w:rPr/>
      </w:pPr>
      <w:r>
        <w:rPr/>
        <w:t>missing-data tests;</w:t>
      </w:r>
    </w:p>
    <w:p>
      <w:pPr>
        <w:pStyle w:val="Compact"/>
        <w:widowControl/>
        <w:numPr>
          <w:ilvl w:val="0"/>
          <w:numId w:val="1377"/>
        </w:numPr>
        <w:rPr/>
      </w:pPr>
      <w:r>
        <w:rPr/>
        <w:t>chain-reorganisation tests;</w:t>
      </w:r>
    </w:p>
    <w:p>
      <w:pPr>
        <w:pStyle w:val="Compact"/>
        <w:widowControl/>
        <w:numPr>
          <w:ilvl w:val="0"/>
          <w:numId w:val="1378"/>
        </w:numPr>
        <w:rPr/>
      </w:pPr>
      <w:r>
        <w:rPr/>
        <w:t>source-failure and fallback tests;</w:t>
      </w:r>
    </w:p>
    <w:p>
      <w:pPr>
        <w:pStyle w:val="Compact"/>
        <w:widowControl/>
        <w:numPr>
          <w:ilvl w:val="0"/>
          <w:numId w:val="1379"/>
        </w:numPr>
        <w:rPr/>
      </w:pPr>
      <w:r>
        <w:rPr/>
        <w:t>known-block fixtures;</w:t>
      </w:r>
    </w:p>
    <w:p>
      <w:pPr>
        <w:pStyle w:val="Compact"/>
        <w:widowControl/>
        <w:numPr>
          <w:ilvl w:val="0"/>
          <w:numId w:val="1380"/>
        </w:numPr>
        <w:rPr/>
      </w:pPr>
      <w:r>
        <w:rPr/>
        <w:t>integration tests against historical snapshots;</w:t>
      </w:r>
    </w:p>
    <w:p>
      <w:pPr>
        <w:pStyle w:val="Compact"/>
        <w:widowControl/>
        <w:numPr>
          <w:ilvl w:val="0"/>
          <w:numId w:val="1381"/>
        </w:numPr>
        <w:rPr/>
      </w:pPr>
      <w:r>
        <w:rPr/>
        <w:t>regression tests for previously corrected defects.</w:t>
      </w:r>
    </w:p>
    <w:p>
      <w:pPr>
        <w:pStyle w:val="Normal"/>
        <w:rPr/>
      </w:pPr>
      <w:bookmarkStart w:id="514" w:name="unit-and-integration-testing"/>
      <w:r>
        <w:rPr/>
        <w:t>Test results are public and tied to adapter certification.</w:t>
      </w:r>
      <w:bookmarkEnd w:id="514"/>
    </w:p>
    <w:p>
      <w:pPr>
        <w:pStyle w:val="Heading2"/>
        <w:keepNext w:val="true"/>
        <w:keepLines/>
        <w:widowControl/>
        <w:rPr/>
      </w:pPr>
      <w:bookmarkStart w:id="515" w:name="__RefHeading___Toc8685_528838595"/>
      <w:bookmarkEnd w:id="515"/>
      <w:r>
        <w:rPr/>
        <w:t>31.3 Construct validation</w:t>
      </w:r>
    </w:p>
    <w:p>
      <w:pPr>
        <w:pStyle w:val="Normal"/>
        <w:rPr/>
      </w:pPr>
      <w:r>
        <w:rPr/>
        <w:t>Construct validation evaluates whether submetrics align with their intended economic property. Methods include:</w:t>
      </w:r>
    </w:p>
    <w:p>
      <w:pPr>
        <w:pStyle w:val="Compact"/>
        <w:widowControl/>
        <w:numPr>
          <w:ilvl w:val="0"/>
          <w:numId w:val="1382"/>
        </w:numPr>
        <w:rPr/>
      </w:pPr>
      <w:r>
        <w:rPr/>
        <w:t>expert review across economics, protocol engineering and market structure;</w:t>
      </w:r>
    </w:p>
    <w:p>
      <w:pPr>
        <w:pStyle w:val="Compact"/>
        <w:widowControl/>
        <w:numPr>
          <w:ilvl w:val="0"/>
          <w:numId w:val="1383"/>
        </w:numPr>
        <w:rPr/>
      </w:pPr>
      <w:r>
        <w:rPr/>
        <w:t>comparison with alternative measurements;</w:t>
      </w:r>
    </w:p>
    <w:p>
      <w:pPr>
        <w:pStyle w:val="Compact"/>
        <w:widowControl/>
        <w:numPr>
          <w:ilvl w:val="0"/>
          <w:numId w:val="1384"/>
        </w:numPr>
        <w:rPr/>
      </w:pPr>
      <w:r>
        <w:rPr/>
        <w:t>event studies around known upgrades, outages, exploits and adoption changes;</w:t>
      </w:r>
    </w:p>
    <w:p>
      <w:pPr>
        <w:pStyle w:val="Compact"/>
        <w:widowControl/>
        <w:numPr>
          <w:ilvl w:val="0"/>
          <w:numId w:val="1385"/>
        </w:numPr>
        <w:rPr/>
      </w:pPr>
      <w:r>
        <w:rPr/>
        <w:t>correlation analysis within and across parent indices;</w:t>
      </w:r>
    </w:p>
    <w:p>
      <w:pPr>
        <w:pStyle w:val="Compact"/>
        <w:widowControl/>
        <w:numPr>
          <w:ilvl w:val="0"/>
          <w:numId w:val="1386"/>
        </w:numPr>
        <w:rPr/>
      </w:pPr>
      <w:r>
        <w:rPr/>
        <w:t>examination of counterexamples;</w:t>
      </w:r>
    </w:p>
    <w:p>
      <w:pPr>
        <w:pStyle w:val="Compact"/>
        <w:widowControl/>
        <w:numPr>
          <w:ilvl w:val="0"/>
          <w:numId w:val="1387"/>
        </w:numPr>
        <w:rPr/>
      </w:pPr>
      <w:r>
        <w:rPr/>
        <w:t>removal tests to identify redundant or dominant variables.</w:t>
      </w:r>
    </w:p>
    <w:p>
      <w:pPr>
        <w:pStyle w:val="Normal"/>
        <w:rPr/>
      </w:pPr>
      <w:bookmarkStart w:id="516" w:name="construct-validation"/>
      <w:r>
        <w:rPr/>
        <w:t>A metric is not retained merely because it is easy to obtain.</w:t>
      </w:r>
      <w:bookmarkEnd w:id="516"/>
    </w:p>
    <w:p>
      <w:pPr>
        <w:pStyle w:val="Heading2"/>
        <w:keepNext w:val="true"/>
        <w:keepLines/>
        <w:widowControl/>
        <w:rPr/>
      </w:pPr>
      <w:bookmarkStart w:id="517" w:name="__RefHeading___Toc8687_528838595"/>
      <w:bookmarkEnd w:id="517"/>
      <w:r>
        <w:rPr/>
        <w:t>31.4 Cross-sectional validation</w:t>
      </w:r>
    </w:p>
    <w:p>
      <w:pPr>
        <w:pStyle w:val="Normal"/>
        <w:rPr/>
      </w:pPr>
      <w:r>
        <w:rPr/>
        <w:t>Cross-sectional tests compare networks at the same date. The objective is not to reproduce market capitalisation rankings. Instead, analysts test whether the framework produces plausible distinctions based on observed economic characteristics and whether architecture groups receive systematic advantage unrelated to performance.</w:t>
      </w:r>
    </w:p>
    <w:p>
      <w:pPr>
        <w:pStyle w:val="BodyText"/>
        <w:widowControl/>
        <w:rPr/>
      </w:pPr>
      <w:r>
        <w:rPr/>
        <w:t>Results are evaluated using:</w:t>
      </w:r>
    </w:p>
    <w:p>
      <w:pPr>
        <w:pStyle w:val="Compact"/>
        <w:widowControl/>
        <w:numPr>
          <w:ilvl w:val="0"/>
          <w:numId w:val="1388"/>
        </w:numPr>
        <w:rPr/>
      </w:pPr>
      <w:r>
        <w:rPr/>
        <w:t>rank stability;</w:t>
      </w:r>
    </w:p>
    <w:p>
      <w:pPr>
        <w:pStyle w:val="Compact"/>
        <w:widowControl/>
        <w:numPr>
          <w:ilvl w:val="0"/>
          <w:numId w:val="1389"/>
        </w:numPr>
        <w:rPr/>
      </w:pPr>
      <w:r>
        <w:rPr/>
        <w:t>distribution of parent indices;</w:t>
      </w:r>
    </w:p>
    <w:p>
      <w:pPr>
        <w:pStyle w:val="Compact"/>
        <w:widowControl/>
        <w:numPr>
          <w:ilvl w:val="0"/>
          <w:numId w:val="1390"/>
        </w:numPr>
        <w:rPr/>
      </w:pPr>
      <w:r>
        <w:rPr/>
        <w:t>architecture-conditioned residuals;</w:t>
      </w:r>
    </w:p>
    <w:p>
      <w:pPr>
        <w:pStyle w:val="Compact"/>
        <w:widowControl/>
        <w:numPr>
          <w:ilvl w:val="0"/>
          <w:numId w:val="1391"/>
        </w:numPr>
        <w:rPr/>
      </w:pPr>
      <w:r>
        <w:rPr/>
        <w:t>concentration of scores near boundaries;</w:t>
      </w:r>
    </w:p>
    <w:p>
      <w:pPr>
        <w:pStyle w:val="Compact"/>
        <w:widowControl/>
        <w:numPr>
          <w:ilvl w:val="0"/>
          <w:numId w:val="1392"/>
        </w:numPr>
        <w:rPr/>
      </w:pPr>
      <w:r>
        <w:rPr/>
        <w:t>sensitivity to benchmark membership;</w:t>
      </w:r>
    </w:p>
    <w:p>
      <w:pPr>
        <w:pStyle w:val="Compact"/>
        <w:widowControl/>
        <w:numPr>
          <w:ilvl w:val="0"/>
          <w:numId w:val="1393"/>
        </w:numPr>
        <w:rPr/>
      </w:pPr>
      <w:bookmarkStart w:id="518" w:name="cross-sectional-validation"/>
      <w:r>
        <w:rPr/>
        <w:t>explanatory contribution of each parent index.</w:t>
      </w:r>
      <w:bookmarkEnd w:id="518"/>
    </w:p>
    <w:p>
      <w:pPr>
        <w:pStyle w:val="Heading2"/>
        <w:keepNext w:val="true"/>
        <w:keepLines/>
        <w:widowControl/>
        <w:rPr/>
      </w:pPr>
      <w:bookmarkStart w:id="519" w:name="__RefHeading___Toc8689_528838595"/>
      <w:bookmarkEnd w:id="519"/>
      <w:r>
        <w:rPr/>
        <w:t>31.5 Time-series validation</w:t>
      </w:r>
    </w:p>
    <w:p>
      <w:pPr>
        <w:pStyle w:val="Normal"/>
        <w:rPr/>
      </w:pPr>
      <w:r>
        <w:rPr/>
        <w:t>Time-series validation examines whether scores respond appropriately to:</w:t>
      </w:r>
    </w:p>
    <w:p>
      <w:pPr>
        <w:pStyle w:val="Compact"/>
        <w:widowControl/>
        <w:numPr>
          <w:ilvl w:val="0"/>
          <w:numId w:val="1394"/>
        </w:numPr>
        <w:rPr/>
      </w:pPr>
      <w:r>
        <w:rPr/>
        <w:t>sustained increases in usage and revenue;</w:t>
      </w:r>
    </w:p>
    <w:p>
      <w:pPr>
        <w:pStyle w:val="Compact"/>
        <w:widowControl/>
        <w:numPr>
          <w:ilvl w:val="0"/>
          <w:numId w:val="1395"/>
        </w:numPr>
        <w:rPr/>
      </w:pPr>
      <w:r>
        <w:rPr/>
        <w:t>declining participation;</w:t>
      </w:r>
    </w:p>
    <w:p>
      <w:pPr>
        <w:pStyle w:val="Compact"/>
        <w:widowControl/>
        <w:numPr>
          <w:ilvl w:val="0"/>
          <w:numId w:val="1396"/>
        </w:numPr>
        <w:rPr/>
      </w:pPr>
      <w:r>
        <w:rPr/>
        <w:t>security incidents and outages;</w:t>
      </w:r>
    </w:p>
    <w:p>
      <w:pPr>
        <w:pStyle w:val="Compact"/>
        <w:widowControl/>
        <w:numPr>
          <w:ilvl w:val="0"/>
          <w:numId w:val="1397"/>
        </w:numPr>
        <w:rPr/>
      </w:pPr>
      <w:r>
        <w:rPr/>
        <w:t>liquidity shocks;</w:t>
      </w:r>
    </w:p>
    <w:p>
      <w:pPr>
        <w:pStyle w:val="Compact"/>
        <w:widowControl/>
        <w:numPr>
          <w:ilvl w:val="0"/>
          <w:numId w:val="1398"/>
        </w:numPr>
        <w:rPr/>
      </w:pPr>
      <w:r>
        <w:rPr/>
        <w:t>stablecoin or bridge failures;</w:t>
      </w:r>
    </w:p>
    <w:p>
      <w:pPr>
        <w:pStyle w:val="Compact"/>
        <w:widowControl/>
        <w:numPr>
          <w:ilvl w:val="0"/>
          <w:numId w:val="1399"/>
        </w:numPr>
        <w:rPr/>
      </w:pPr>
      <w:r>
        <w:rPr/>
        <w:t>major real-world adoption;</w:t>
      </w:r>
    </w:p>
    <w:p>
      <w:pPr>
        <w:pStyle w:val="Compact"/>
        <w:widowControl/>
        <w:numPr>
          <w:ilvl w:val="0"/>
          <w:numId w:val="1400"/>
        </w:numPr>
        <w:rPr/>
      </w:pPr>
      <w:r>
        <w:rPr/>
        <w:t>prolonged bear markets and recovery.</w:t>
      </w:r>
    </w:p>
    <w:p>
      <w:pPr>
        <w:pStyle w:val="Normal"/>
        <w:rPr/>
      </w:pPr>
      <w:bookmarkStart w:id="520" w:name="time-series-validation"/>
      <w:r>
        <w:rPr/>
        <w:t>The model should not react violently to ordinary noise, but it should not smooth away structural deterioration.</w:t>
      </w:r>
      <w:bookmarkEnd w:id="520"/>
    </w:p>
    <w:p>
      <w:pPr>
        <w:pStyle w:val="Heading2"/>
        <w:keepNext w:val="true"/>
        <w:keepLines/>
        <w:widowControl/>
        <w:rPr/>
      </w:pPr>
      <w:bookmarkStart w:id="521" w:name="__RefHeading___Toc8691_528838595"/>
      <w:bookmarkEnd w:id="521"/>
      <w:r>
        <w:rPr/>
        <w:t>31.6 Event studies</w:t>
      </w:r>
    </w:p>
    <w:p>
      <w:pPr>
        <w:pStyle w:val="Normal"/>
        <w:rPr/>
      </w:pPr>
      <w:r>
        <w:rPr/>
        <w:t>For each qualifying event, researchers define pre-event, event and post-event windows. They examine the affected submetrics, PII, ERI, VRS, VCS and headline VTS. Expected direction is documented before analysis where possible.</w:t>
      </w:r>
    </w:p>
    <w:p>
      <w:pPr>
        <w:pStyle w:val="BodyText"/>
        <w:widowControl/>
        <w:rPr/>
      </w:pPr>
      <w:r>
        <w:rPr/>
        <w:t>A model defect is suspected when:</w:t>
      </w:r>
    </w:p>
    <w:p>
      <w:pPr>
        <w:pStyle w:val="Compact"/>
        <w:widowControl/>
        <w:numPr>
          <w:ilvl w:val="0"/>
          <w:numId w:val="1401"/>
        </w:numPr>
        <w:rPr/>
      </w:pPr>
      <w:r>
        <w:rPr/>
        <w:t>a major outage improves integrity;</w:t>
      </w:r>
    </w:p>
    <w:p>
      <w:pPr>
        <w:pStyle w:val="Compact"/>
        <w:widowControl/>
        <w:numPr>
          <w:ilvl w:val="0"/>
          <w:numId w:val="1402"/>
        </w:numPr>
        <w:rPr/>
      </w:pPr>
      <w:r>
        <w:rPr/>
        <w:t>concentrated liquidity appears more resilient than diversified liquidity without evidence;</w:t>
      </w:r>
    </w:p>
    <w:p>
      <w:pPr>
        <w:pStyle w:val="Compact"/>
        <w:widowControl/>
        <w:numPr>
          <w:ilvl w:val="0"/>
          <w:numId w:val="1403"/>
        </w:numPr>
        <w:rPr/>
      </w:pPr>
      <w:r>
        <w:rPr/>
        <w:t>unsustainable emissions create a durable PoV increase;</w:t>
      </w:r>
    </w:p>
    <w:p>
      <w:pPr>
        <w:pStyle w:val="Compact"/>
        <w:widowControl/>
        <w:numPr>
          <w:ilvl w:val="0"/>
          <w:numId w:val="1404"/>
        </w:numPr>
        <w:rPr/>
      </w:pPr>
      <w:r>
        <w:rPr/>
        <w:t>missing data improves confidence;</w:t>
      </w:r>
    </w:p>
    <w:p>
      <w:pPr>
        <w:pStyle w:val="Compact"/>
        <w:widowControl/>
        <w:numPr>
          <w:ilvl w:val="0"/>
          <w:numId w:val="1405"/>
        </w:numPr>
        <w:rPr/>
      </w:pPr>
      <w:bookmarkStart w:id="522" w:name="event-studies"/>
      <w:r>
        <w:rPr/>
        <w:t>market price mechanically changes VTS.</w:t>
      </w:r>
      <w:bookmarkEnd w:id="522"/>
    </w:p>
    <w:p>
      <w:pPr>
        <w:pStyle w:val="Heading2"/>
        <w:keepNext w:val="true"/>
        <w:keepLines/>
        <w:widowControl/>
        <w:rPr/>
      </w:pPr>
      <w:bookmarkStart w:id="523" w:name="__RefHeading___Toc8693_528838595"/>
      <w:bookmarkEnd w:id="523"/>
      <w:r>
        <w:rPr/>
        <w:t>31.7 Out-of-sample testing</w:t>
      </w:r>
    </w:p>
    <w:p>
      <w:pPr>
        <w:pStyle w:val="Normal"/>
        <w:rPr/>
      </w:pPr>
      <w:bookmarkStart w:id="524" w:name="out-of-sample-testing"/>
      <w:r>
        <w:rPr/>
        <w:t>Benchmark and weighting calibration uses separate development and evaluation periods. The DAO avoids repeatedly adjusting the model to fit known historical outcomes. New network and event samples provide out-of-sample tests.</w:t>
      </w:r>
      <w:bookmarkEnd w:id="524"/>
    </w:p>
    <w:p>
      <w:pPr>
        <w:pStyle w:val="Heading2"/>
        <w:keepNext w:val="true"/>
        <w:keepLines/>
        <w:widowControl/>
        <w:rPr/>
      </w:pPr>
      <w:bookmarkStart w:id="525" w:name="__RefHeading___Toc8695_528838595"/>
      <w:bookmarkEnd w:id="525"/>
      <w:r>
        <w:rPr/>
        <w:t>31.8 Predictive research</w:t>
      </w:r>
    </w:p>
    <w:p>
      <w:pPr>
        <w:pStyle w:val="Normal"/>
        <w:rPr/>
      </w:pPr>
      <w:bookmarkStart w:id="526" w:name="predictive-research"/>
      <w:r>
        <w:rPr/>
        <w:t>Voxonomics may be tested against future outcomes such as activity retention, revenue durability, drawdown resilience, validator participation and incident frequency. Predictive correlation is useful evidence, but the framework remains a measurement standard rather than a promise of investment returns.</w:t>
      </w:r>
      <w:bookmarkEnd w:id="526"/>
    </w:p>
    <w:p>
      <w:pPr>
        <w:pStyle w:val="Heading2"/>
        <w:keepNext w:val="true"/>
        <w:keepLines/>
        <w:widowControl/>
        <w:rPr/>
      </w:pPr>
      <w:bookmarkStart w:id="527" w:name="__RefHeading___Toc8697_528838595"/>
      <w:bookmarkEnd w:id="527"/>
      <w:r>
        <w:rPr/>
        <w:t>31.9 Independent replication</w:t>
      </w:r>
    </w:p>
    <w:p>
      <w:pPr>
        <w:pStyle w:val="Normal"/>
        <w:rPr/>
      </w:pPr>
      <w:bookmarkStart w:id="528" w:name="validation-framework"/>
      <w:bookmarkStart w:id="529" w:name="independent-replication"/>
      <w:r>
        <w:rPr/>
        <w:t>Universities, research groups, data providers and communities are encouraged to reproduce results and publish disagreements. The DAO may fund replication but cannot require favourable conclusions.</w:t>
      </w:r>
      <w:bookmarkEnd w:id="528"/>
      <w:bookmarkEnd w:id="529"/>
    </w:p>
    <w:p>
      <w:pPr>
        <w:pStyle w:val="Heading1"/>
        <w:keepNext w:val="true"/>
        <w:keepLines/>
        <w:widowControl/>
        <w:pBdr>
          <w:bottom w:val="single" w:sz="6" w:space="5" w:color="8AB2BF"/>
        </w:pBdr>
        <w:jc w:val="start"/>
        <w:rPr/>
      </w:pPr>
      <w:bookmarkStart w:id="530" w:name="__RefHeading___Toc8699_528838595"/>
      <w:bookmarkEnd w:id="530"/>
      <w:r>
        <w:rPr/>
        <w:t>32. Manipulation Resistance</w:t>
      </w:r>
    </w:p>
    <w:p>
      <w:pPr>
        <w:pStyle w:val="Heading2"/>
        <w:keepNext w:val="true"/>
        <w:keepLines/>
        <w:widowControl/>
        <w:rPr/>
      </w:pPr>
      <w:bookmarkStart w:id="531" w:name="__RefHeading___Toc8701_528838595"/>
      <w:bookmarkEnd w:id="531"/>
      <w:r>
        <w:rPr/>
        <w:t>32.1 Threat model</w:t>
      </w:r>
    </w:p>
    <w:p>
      <w:pPr>
        <w:pStyle w:val="Normal"/>
        <w:rPr/>
      </w:pPr>
      <w:r>
        <w:rPr/>
        <w:t>Potential manipulators include network foundations, applications, validators, exchanges, liquidity providers, market participants, data providers and governance coalitions. Incentives increase if scores affect reputation, capital allocation, collateral or VOX issuance.</w:t>
      </w:r>
    </w:p>
    <w:p>
      <w:pPr>
        <w:pStyle w:val="BodyText"/>
        <w:widowControl/>
        <w:rPr/>
      </w:pPr>
      <w:bookmarkStart w:id="532" w:name="threat-model"/>
      <w:r>
        <w:rPr/>
        <w:t>The framework therefore treats manipulation cost as a design requirement.</w:t>
      </w:r>
      <w:bookmarkEnd w:id="532"/>
    </w:p>
    <w:p>
      <w:pPr>
        <w:pStyle w:val="Heading2"/>
        <w:keepNext w:val="true"/>
        <w:keepLines/>
        <w:widowControl/>
        <w:rPr/>
      </w:pPr>
      <w:bookmarkStart w:id="533" w:name="__RefHeading___Toc8703_528838595"/>
      <w:bookmarkEnd w:id="533"/>
      <w:r>
        <w:rPr/>
        <w:t>32.2 Activity manipulation</w:t>
      </w:r>
    </w:p>
    <w:p>
      <w:pPr>
        <w:pStyle w:val="Normal"/>
        <w:rPr/>
      </w:pPr>
      <w:r>
        <w:rPr/>
        <w:t>Attacks may create transactions, addresses, fees or contract calls to inflate PoV and OPI. Controls include:</w:t>
      </w:r>
    </w:p>
    <w:p>
      <w:pPr>
        <w:pStyle w:val="Compact"/>
        <w:widowControl/>
        <w:numPr>
          <w:ilvl w:val="0"/>
          <w:numId w:val="1406"/>
        </w:numPr>
        <w:rPr/>
      </w:pPr>
      <w:r>
        <w:rPr/>
        <w:t>economic-value thresholds;</w:t>
      </w:r>
    </w:p>
    <w:p>
      <w:pPr>
        <w:pStyle w:val="Compact"/>
        <w:widowControl/>
        <w:numPr>
          <w:ilvl w:val="0"/>
          <w:numId w:val="1407"/>
        </w:numPr>
        <w:rPr/>
      </w:pPr>
      <w:r>
        <w:rPr/>
        <w:t>self-transfer and circular-flow detection;</w:t>
      </w:r>
    </w:p>
    <w:p>
      <w:pPr>
        <w:pStyle w:val="Compact"/>
        <w:widowControl/>
        <w:numPr>
          <w:ilvl w:val="0"/>
          <w:numId w:val="1408"/>
        </w:numPr>
        <w:rPr/>
      </w:pPr>
      <w:r>
        <w:rPr/>
        <w:t>entity and application concentration;</w:t>
      </w:r>
    </w:p>
    <w:p>
      <w:pPr>
        <w:pStyle w:val="Compact"/>
        <w:widowControl/>
        <w:numPr>
          <w:ilvl w:val="0"/>
          <w:numId w:val="1409"/>
        </w:numPr>
        <w:rPr/>
      </w:pPr>
      <w:r>
        <w:rPr/>
        <w:t>subsidy and rebate adjustment;</w:t>
      </w:r>
    </w:p>
    <w:p>
      <w:pPr>
        <w:pStyle w:val="Compact"/>
        <w:widowControl/>
        <w:numPr>
          <w:ilvl w:val="0"/>
          <w:numId w:val="1410"/>
        </w:numPr>
        <w:rPr/>
      </w:pPr>
      <w:r>
        <w:rPr/>
        <w:t>retention requirements;</w:t>
      </w:r>
    </w:p>
    <w:p>
      <w:pPr>
        <w:pStyle w:val="Compact"/>
        <w:widowControl/>
        <w:numPr>
          <w:ilvl w:val="0"/>
          <w:numId w:val="1411"/>
        </w:numPr>
        <w:rPr/>
      </w:pPr>
      <w:r>
        <w:rPr/>
        <w:t>fee-to-value and revenue-to-incentive ratios;</w:t>
      </w:r>
    </w:p>
    <w:p>
      <w:pPr>
        <w:pStyle w:val="Compact"/>
        <w:widowControl/>
        <w:numPr>
          <w:ilvl w:val="0"/>
          <w:numId w:val="1412"/>
        </w:numPr>
        <w:rPr/>
      </w:pPr>
      <w:r>
        <w:rPr/>
        <w:t>capped daily movement;</w:t>
      </w:r>
    </w:p>
    <w:p>
      <w:pPr>
        <w:pStyle w:val="Compact"/>
        <w:widowControl/>
        <w:numPr>
          <w:ilvl w:val="0"/>
          <w:numId w:val="1413"/>
        </w:numPr>
        <w:rPr/>
      </w:pPr>
      <w:r>
        <w:rPr/>
        <w:t>independent source reconciliation.</w:t>
      </w:r>
    </w:p>
    <w:p>
      <w:pPr>
        <w:pStyle w:val="Normal"/>
        <w:rPr/>
      </w:pPr>
      <w:bookmarkStart w:id="534" w:name="activity-manipulation"/>
      <w:r>
        <w:rPr/>
        <w:t>A manipulator may still pay real fees to raise activity. The model estimates whether the economic cost is durable and whether the resulting activity creates value capture.</w:t>
      </w:r>
      <w:bookmarkEnd w:id="534"/>
    </w:p>
    <w:p>
      <w:pPr>
        <w:pStyle w:val="Heading2"/>
        <w:keepNext w:val="true"/>
        <w:keepLines/>
        <w:widowControl/>
        <w:rPr/>
      </w:pPr>
      <w:bookmarkStart w:id="535" w:name="__RefHeading___Toc8705_528838595"/>
      <w:bookmarkEnd w:id="535"/>
      <w:r>
        <w:rPr/>
        <w:t>32.3 Liquidity manipulation</w:t>
      </w:r>
    </w:p>
    <w:p>
      <w:pPr>
        <w:pStyle w:val="Normal"/>
        <w:rPr/>
      </w:pPr>
      <w:bookmarkStart w:id="536" w:name="liquidity-manipulation"/>
      <w:r>
        <w:rPr/>
        <w:t>Temporary deposits can inflate TVL or depth. DLI uses standard trade simulation, liquidity duration, withdrawal stress, provider concentration and incentive adjustment. Snapshot-only TVL is not sufficient.</w:t>
      </w:r>
      <w:bookmarkEnd w:id="536"/>
    </w:p>
    <w:p>
      <w:pPr>
        <w:pStyle w:val="Heading2"/>
        <w:keepNext w:val="true"/>
        <w:keepLines/>
        <w:widowControl/>
        <w:rPr/>
      </w:pPr>
      <w:bookmarkStart w:id="537" w:name="__RefHeading___Toc8707_528838595"/>
      <w:bookmarkEnd w:id="537"/>
      <w:r>
        <w:rPr/>
        <w:t>32.4 Governance manipulation</w:t>
      </w:r>
    </w:p>
    <w:p>
      <w:pPr>
        <w:pStyle w:val="Normal"/>
        <w:rPr/>
      </w:pPr>
      <w:bookmarkStart w:id="538" w:name="governance-manipulation"/>
      <w:r>
        <w:rPr/>
        <w:t>A network can create many low-quality proposals or sybil voters. OPI distinguishes turnout, voting-power distribution, proposal quality, execution and retention. Governance events controlled by the same entity do not count as independent participation.</w:t>
      </w:r>
      <w:bookmarkEnd w:id="538"/>
    </w:p>
    <w:p>
      <w:pPr>
        <w:pStyle w:val="Heading2"/>
        <w:keepNext w:val="true"/>
        <w:keepLines/>
        <w:widowControl/>
        <w:rPr/>
      </w:pPr>
      <w:bookmarkStart w:id="539" w:name="__RefHeading___Toc8709_528838595"/>
      <w:bookmarkEnd w:id="539"/>
      <w:r>
        <w:rPr/>
        <w:t>32.5 Developer manipulation</w:t>
      </w:r>
    </w:p>
    <w:p>
      <w:pPr>
        <w:pStyle w:val="Normal"/>
        <w:rPr/>
      </w:pPr>
      <w:bookmarkStart w:id="540" w:name="developer-manipulation"/>
      <w:r>
        <w:rPr/>
        <w:t>Commit counts can be fabricated. Developer measures filter forks, mirrors, bots, generated code and trivial commits. Productive contribution is assessed through reviewed changes, releases, maintenance and independent contributor retention.</w:t>
      </w:r>
      <w:bookmarkEnd w:id="540"/>
    </w:p>
    <w:p>
      <w:pPr>
        <w:pStyle w:val="Heading2"/>
        <w:keepNext w:val="true"/>
        <w:keepLines/>
        <w:widowControl/>
        <w:rPr/>
      </w:pPr>
      <w:bookmarkStart w:id="541" w:name="__RefHeading___Toc8711_528838595"/>
      <w:bookmarkEnd w:id="541"/>
      <w:r>
        <w:rPr/>
        <w:t>32.6 Adoption manipulation</w:t>
      </w:r>
    </w:p>
    <w:p>
      <w:pPr>
        <w:pStyle w:val="Normal"/>
        <w:rPr/>
      </w:pPr>
      <w:bookmarkStart w:id="542" w:name="adoption-manipulation"/>
      <w:r>
        <w:rPr/>
        <w:t>Announced partnerships and tokenised assets can be created without real use or enforceable claims. RWAI requires observed settlement, persistence, external verification and quality. Unverified announcements receive no quantitative credit.</w:t>
      </w:r>
      <w:bookmarkEnd w:id="542"/>
    </w:p>
    <w:p>
      <w:pPr>
        <w:pStyle w:val="Heading2"/>
        <w:keepNext w:val="true"/>
        <w:keepLines/>
        <w:widowControl/>
        <w:rPr/>
      </w:pPr>
      <w:bookmarkStart w:id="543" w:name="__RefHeading___Toc8713_528838595"/>
      <w:bookmarkEnd w:id="543"/>
      <w:r>
        <w:rPr/>
        <w:t>32.7 Data-provider manipulation</w:t>
      </w:r>
    </w:p>
    <w:p>
      <w:pPr>
        <w:pStyle w:val="Normal"/>
        <w:rPr/>
      </w:pPr>
      <w:bookmarkStart w:id="544" w:name="data-provider-manipulation"/>
      <w:r>
        <w:rPr/>
        <w:t>Providers may classify assets or applications in ways that favour customers. The framework requires methodology disclosure, conflict records, source comparison and the ability to replace a provider without changing the canonical definition.</w:t>
      </w:r>
      <w:bookmarkEnd w:id="544"/>
    </w:p>
    <w:p>
      <w:pPr>
        <w:pStyle w:val="Heading2"/>
        <w:keepNext w:val="true"/>
        <w:keepLines/>
        <w:widowControl/>
        <w:rPr/>
      </w:pPr>
      <w:bookmarkStart w:id="545" w:name="__RefHeading___Toc8715_528838595"/>
      <w:bookmarkEnd w:id="545"/>
      <w:r>
        <w:rPr/>
        <w:t>32.8 Governance capture of the model</w:t>
      </w:r>
    </w:p>
    <w:p>
      <w:pPr>
        <w:pStyle w:val="Normal"/>
        <w:rPr/>
      </w:pPr>
      <w:bookmarkStart w:id="546" w:name="governance-capture-of-the-model"/>
      <w:r>
        <w:rPr/>
        <w:t>A coalition could attempt to alter benchmarks or submetric weights. Constitutional parent equality, impact simulations, timelocks, supermajority thresholds, conflict disclosure and open-source reproducibility reduce this risk.</w:t>
      </w:r>
      <w:bookmarkEnd w:id="546"/>
    </w:p>
    <w:p>
      <w:pPr>
        <w:pStyle w:val="Heading2"/>
        <w:keepNext w:val="true"/>
        <w:keepLines/>
        <w:widowControl/>
        <w:rPr/>
      </w:pPr>
      <w:bookmarkStart w:id="547" w:name="__RefHeading___Toc8717_528838595"/>
      <w:bookmarkEnd w:id="547"/>
      <w:r>
        <w:rPr/>
        <w:t>32.9 Manipulation-budget analysis</w:t>
      </w:r>
    </w:p>
    <w:p>
      <w:pPr>
        <w:pStyle w:val="Normal"/>
        <w:rPr/>
      </w:pPr>
      <w:r>
        <w:rPr/>
        <w:t>Before an optional economic layer is activated, the DAO estimates:</w:t>
      </w:r>
    </w:p>
    <w:p>
      <w:pPr>
        <w:pStyle w:val="BodyText"/>
        <w:keepLines/>
        <w:spacing w:before="80" w:after="160"/>
        <w:jc w:val="center"/>
        <w:rPr/>
      </w:pPr>
      <w:r>
        <w:rPr/>
        <w:drawing>
          <wp:inline distT="0" distB="0" distL="0" distR="0">
            <wp:extent cx="5083175" cy="522605"/>
            <wp:effectExtent l="0" t="0" r="0" b="0"/>
            <wp:docPr id="46" name="Picture 46" descr="\mathrm{Manipulation\ ROI}=\frac{\mathrm{Expected\ economic\ benefit}}{\mathrm{Estimated\ cost\ and\ risk\ of\ manipulation}}"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mathrm{Manipulation\ ROI}=\frac{\mathrm{Expected\ economic\ benefit}}{\mathrm{Estimated\ cost\ and\ risk\ of\ manipulation}}" title="Equation"/>
                    <pic:cNvPicPr>
                      <a:picLocks noChangeAspect="1" noChangeArrowheads="1"/>
                    </pic:cNvPicPr>
                  </pic:nvPicPr>
                  <pic:blipFill>
                    <a:blip r:embed="rId47"/>
                    <a:stretch>
                      <a:fillRect/>
                    </a:stretch>
                  </pic:blipFill>
                  <pic:spPr bwMode="auto">
                    <a:xfrm>
                      <a:off x="0" y="0"/>
                      <a:ext cx="5083175" cy="522605"/>
                    </a:xfrm>
                    <a:prstGeom prst="rect">
                      <a:avLst/>
                    </a:prstGeom>
                    <a:noFill/>
                  </pic:spPr>
                </pic:pic>
              </a:graphicData>
            </a:graphic>
          </wp:inline>
        </w:drawing>
      </w:r>
    </w:p>
    <w:p>
      <w:pPr>
        <w:pStyle w:val="Normal"/>
        <w:rPr/>
      </w:pPr>
      <w:bookmarkStart w:id="548" w:name="manipulation-resistance"/>
      <w:bookmarkStart w:id="549" w:name="manipulation-budget-analysis"/>
      <w:r>
        <w:rPr/>
        <w:t>A design is unacceptable where low-cost activity can produce high-value issuance or collateral benefits. Caps, delays and independent review must reduce expected manipulation ROI below one under reasonable scenarios.</w:t>
      </w:r>
      <w:bookmarkEnd w:id="548"/>
      <w:bookmarkEnd w:id="549"/>
    </w:p>
    <w:p>
      <w:pPr>
        <w:pStyle w:val="Heading1"/>
        <w:keepNext w:val="true"/>
        <w:keepLines/>
        <w:widowControl/>
        <w:pBdr>
          <w:bottom w:val="single" w:sz="6" w:space="5" w:color="8AB2BF"/>
        </w:pBdr>
        <w:jc w:val="start"/>
        <w:rPr/>
      </w:pPr>
      <w:bookmarkStart w:id="550" w:name="__RefHeading___Toc8719_528838595"/>
      <w:bookmarkEnd w:id="550"/>
      <w:r>
        <w:rPr/>
        <w:t>33. Security Architecture</w:t>
      </w:r>
    </w:p>
    <w:p>
      <w:pPr>
        <w:pStyle w:val="Heading2"/>
        <w:keepNext w:val="true"/>
        <w:keepLines/>
        <w:widowControl/>
        <w:rPr/>
      </w:pPr>
      <w:bookmarkStart w:id="551" w:name="__RefHeading___Toc8721_528838595"/>
      <w:bookmarkEnd w:id="551"/>
      <w:r>
        <w:rPr/>
        <w:t>33.1 Security domains</w:t>
      </w:r>
    </w:p>
    <w:p>
      <w:pPr>
        <w:pStyle w:val="Normal"/>
        <w:rPr/>
      </w:pPr>
      <w:r>
        <w:rPr/>
        <w:t>Voxonomics security covers:</w:t>
      </w:r>
    </w:p>
    <w:p>
      <w:pPr>
        <w:pStyle w:val="Compact"/>
        <w:widowControl/>
        <w:numPr>
          <w:ilvl w:val="0"/>
          <w:numId w:val="1414"/>
        </w:numPr>
        <w:rPr/>
      </w:pPr>
      <w:r>
        <w:rPr/>
        <w:t>source and node integrity;</w:t>
      </w:r>
    </w:p>
    <w:p>
      <w:pPr>
        <w:pStyle w:val="Compact"/>
        <w:widowControl/>
        <w:numPr>
          <w:ilvl w:val="0"/>
          <w:numId w:val="1415"/>
        </w:numPr>
        <w:rPr/>
      </w:pPr>
      <w:r>
        <w:rPr/>
        <w:t>adapter and calculation code;</w:t>
      </w:r>
    </w:p>
    <w:p>
      <w:pPr>
        <w:pStyle w:val="Compact"/>
        <w:widowControl/>
        <w:numPr>
          <w:ilvl w:val="0"/>
          <w:numId w:val="1416"/>
        </w:numPr>
        <w:rPr/>
      </w:pPr>
      <w:r>
        <w:rPr/>
        <w:t>build and deployment pipeline;</w:t>
      </w:r>
    </w:p>
    <w:p>
      <w:pPr>
        <w:pStyle w:val="Compact"/>
        <w:widowControl/>
        <w:numPr>
          <w:ilvl w:val="0"/>
          <w:numId w:val="1417"/>
        </w:numPr>
        <w:rPr/>
      </w:pPr>
      <w:r>
        <w:rPr/>
        <w:t>result signing and publication;</w:t>
      </w:r>
    </w:p>
    <w:p>
      <w:pPr>
        <w:pStyle w:val="Compact"/>
        <w:widowControl/>
        <w:numPr>
          <w:ilvl w:val="0"/>
          <w:numId w:val="1418"/>
        </w:numPr>
        <w:rPr/>
      </w:pPr>
      <w:r>
        <w:rPr/>
        <w:t>governance contracts;</w:t>
      </w:r>
    </w:p>
    <w:p>
      <w:pPr>
        <w:pStyle w:val="Compact"/>
        <w:widowControl/>
        <w:numPr>
          <w:ilvl w:val="0"/>
          <w:numId w:val="1419"/>
        </w:numPr>
        <w:rPr/>
      </w:pPr>
      <w:r>
        <w:rPr/>
        <w:t>optional issuance contracts;</w:t>
      </w:r>
    </w:p>
    <w:p>
      <w:pPr>
        <w:pStyle w:val="Compact"/>
        <w:widowControl/>
        <w:numPr>
          <w:ilvl w:val="0"/>
          <w:numId w:val="1420"/>
        </w:numPr>
        <w:rPr/>
      </w:pPr>
      <w:r>
        <w:rPr/>
        <w:t>bridges, oracles and markets;</w:t>
      </w:r>
    </w:p>
    <w:p>
      <w:pPr>
        <w:pStyle w:val="Compact"/>
        <w:widowControl/>
        <w:numPr>
          <w:ilvl w:val="0"/>
          <w:numId w:val="1421"/>
        </w:numPr>
        <w:rPr/>
      </w:pPr>
      <w:bookmarkStart w:id="552" w:name="security-domains"/>
      <w:r>
        <w:rPr/>
        <w:t>keys, access controls and incident response.</w:t>
      </w:r>
      <w:bookmarkEnd w:id="552"/>
    </w:p>
    <w:p>
      <w:pPr>
        <w:pStyle w:val="Heading2"/>
        <w:keepNext w:val="true"/>
        <w:keepLines/>
        <w:widowControl/>
        <w:rPr/>
      </w:pPr>
      <w:bookmarkStart w:id="553" w:name="__RefHeading___Toc8723_528838595"/>
      <w:bookmarkEnd w:id="553"/>
      <w:r>
        <w:rPr/>
        <w:t>33.2 Node and source security</w:t>
      </w:r>
    </w:p>
    <w:p>
      <w:pPr>
        <w:pStyle w:val="Normal"/>
        <w:rPr/>
      </w:pPr>
      <w:bookmarkStart w:id="554" w:name="node-and-source-security"/>
      <w:r>
        <w:rPr/>
        <w:t>Calculation operators use authenticated endpoints, archival verification where required, block-hash checks, chain-ID validation and protection against eclipse or provider substitution. Critical observations are verified against independent sources or direct state.</w:t>
      </w:r>
      <w:bookmarkEnd w:id="554"/>
    </w:p>
    <w:p>
      <w:pPr>
        <w:pStyle w:val="Heading2"/>
        <w:keepNext w:val="true"/>
        <w:keepLines/>
        <w:widowControl/>
        <w:rPr/>
      </w:pPr>
      <w:bookmarkStart w:id="555" w:name="__RefHeading___Toc8725_528838595"/>
      <w:bookmarkEnd w:id="555"/>
      <w:r>
        <w:rPr/>
        <w:t>33.3 Software supply chain</w:t>
      </w:r>
    </w:p>
    <w:p>
      <w:pPr>
        <w:pStyle w:val="Normal"/>
        <w:rPr/>
      </w:pPr>
      <w:bookmarkStart w:id="556" w:name="software-supply-chain"/>
      <w:r>
        <w:rPr/>
        <w:t>Source code is version-controlled and reviewed. Builds use pinned dependencies, reproducible environments, signed artefacts and software-bill-of-materials records. Critical dependencies are monitored for vulnerabilities.</w:t>
      </w:r>
      <w:bookmarkEnd w:id="556"/>
    </w:p>
    <w:p>
      <w:pPr>
        <w:pStyle w:val="Heading2"/>
        <w:keepNext w:val="true"/>
        <w:keepLines/>
        <w:widowControl/>
        <w:rPr/>
      </w:pPr>
      <w:bookmarkStart w:id="557" w:name="__RefHeading___Toc8727_528838595"/>
      <w:bookmarkEnd w:id="557"/>
      <w:r>
        <w:rPr/>
        <w:t>33.4 Calculation determinism</w:t>
      </w:r>
    </w:p>
    <w:p>
      <w:pPr>
        <w:pStyle w:val="Normal"/>
        <w:rPr/>
      </w:pPr>
      <w:bookmarkStart w:id="558" w:name="calculation-determinism"/>
      <w:r>
        <w:rPr/>
        <w:t>For a fixed snapshot and methodology version, the calculation must be deterministic. Floating-point behaviour, rounding, time zones, decimal handling and source-order effects are specified. High-precision decimal arithmetic is used for financial quantities.</w:t>
      </w:r>
      <w:bookmarkEnd w:id="558"/>
    </w:p>
    <w:p>
      <w:pPr>
        <w:pStyle w:val="Heading2"/>
        <w:keepNext w:val="true"/>
        <w:keepLines/>
        <w:widowControl/>
        <w:rPr/>
      </w:pPr>
      <w:bookmarkStart w:id="559" w:name="__RefHeading___Toc8729_528838595"/>
      <w:bookmarkEnd w:id="559"/>
      <w:r>
        <w:rPr/>
        <w:t>33.5 Key management</w:t>
      </w:r>
    </w:p>
    <w:p>
      <w:pPr>
        <w:pStyle w:val="Normal"/>
        <w:rPr/>
      </w:pPr>
      <w:bookmarkStart w:id="560" w:name="key-management"/>
      <w:r>
        <w:rPr/>
        <w:t>Publishing, governance and economic-layer keys use threshold signatures or multi-party control. Roles are separated. Key rotation, recovery, hardware security and compromise procedures are documented.</w:t>
      </w:r>
      <w:bookmarkEnd w:id="560"/>
    </w:p>
    <w:p>
      <w:pPr>
        <w:pStyle w:val="Heading2"/>
        <w:keepNext w:val="true"/>
        <w:keepLines/>
        <w:widowControl/>
        <w:rPr/>
      </w:pPr>
      <w:bookmarkStart w:id="561" w:name="__RefHeading___Toc8731_528838595"/>
      <w:bookmarkEnd w:id="561"/>
      <w:r>
        <w:rPr/>
        <w:t>33.6 Oracle publication</w:t>
      </w:r>
    </w:p>
    <w:p>
      <w:pPr>
        <w:pStyle w:val="Normal"/>
        <w:rPr/>
      </w:pPr>
      <w:bookmarkStart w:id="562" w:name="oracle-publication"/>
      <w:r>
        <w:rPr/>
        <w:t>Where results are placed on-chain, independent publishers sign the same calculation manifest. Contracts verify threshold agreement, freshness, methodology version and deviation bounds. A single publisher cannot silently change a score.</w:t>
      </w:r>
      <w:bookmarkEnd w:id="562"/>
    </w:p>
    <w:p>
      <w:pPr>
        <w:pStyle w:val="Heading2"/>
        <w:keepNext w:val="true"/>
        <w:keepLines/>
        <w:widowControl/>
        <w:rPr/>
      </w:pPr>
      <w:bookmarkStart w:id="563" w:name="__RefHeading___Toc8733_528838595"/>
      <w:bookmarkEnd w:id="563"/>
      <w:r>
        <w:rPr/>
        <w:t>33.7 Governance security</w:t>
      </w:r>
    </w:p>
    <w:p>
      <w:pPr>
        <w:pStyle w:val="Normal"/>
        <w:rPr/>
      </w:pPr>
      <w:bookmarkStart w:id="564" w:name="governance-security"/>
      <w:r>
        <w:rPr/>
        <w:t>Governance contracts use audited proposal, timelock and execution modules. Emergency powers are narrow, time-limited and visible. Upgrade keys cannot bypass constitutional publication and delay rules.</w:t>
      </w:r>
      <w:bookmarkEnd w:id="564"/>
    </w:p>
    <w:p>
      <w:pPr>
        <w:pStyle w:val="Heading2"/>
        <w:keepNext w:val="true"/>
        <w:keepLines/>
        <w:widowControl/>
        <w:rPr/>
      </w:pPr>
      <w:bookmarkStart w:id="565" w:name="__RefHeading___Toc8735_528838595"/>
      <w:bookmarkEnd w:id="565"/>
      <w:r>
        <w:rPr/>
        <w:t>33.8 Economic-layer security</w:t>
      </w:r>
    </w:p>
    <w:p>
      <w:pPr>
        <w:pStyle w:val="Normal"/>
        <w:rPr/>
      </w:pPr>
      <w:r>
        <w:rPr/>
        <w:t>Tokenised VOX contracts require formal review of:</w:t>
      </w:r>
    </w:p>
    <w:p>
      <w:pPr>
        <w:pStyle w:val="Compact"/>
        <w:widowControl/>
        <w:numPr>
          <w:ilvl w:val="0"/>
          <w:numId w:val="1422"/>
        </w:numPr>
        <w:rPr/>
      </w:pPr>
      <w:r>
        <w:rPr/>
        <w:t>indexed-balance accounting;</w:t>
      </w:r>
    </w:p>
    <w:p>
      <w:pPr>
        <w:pStyle w:val="Compact"/>
        <w:widowControl/>
        <w:numPr>
          <w:ilvl w:val="0"/>
          <w:numId w:val="1423"/>
        </w:numPr>
        <w:rPr/>
      </w:pPr>
      <w:r>
        <w:rPr/>
        <w:t>total-supply invariants;</w:t>
      </w:r>
    </w:p>
    <w:p>
      <w:pPr>
        <w:pStyle w:val="Compact"/>
        <w:widowControl/>
        <w:numPr>
          <w:ilvl w:val="0"/>
          <w:numId w:val="1424"/>
        </w:numPr>
        <w:rPr/>
      </w:pPr>
      <w:r>
        <w:rPr/>
        <w:t>bridge representation;</w:t>
      </w:r>
    </w:p>
    <w:p>
      <w:pPr>
        <w:pStyle w:val="Compact"/>
        <w:widowControl/>
        <w:numPr>
          <w:ilvl w:val="0"/>
          <w:numId w:val="1425"/>
        </w:numPr>
        <w:rPr/>
      </w:pPr>
      <w:r>
        <w:rPr/>
        <w:t>staking and lending integration;</w:t>
      </w:r>
    </w:p>
    <w:p>
      <w:pPr>
        <w:pStyle w:val="Compact"/>
        <w:widowControl/>
        <w:numPr>
          <w:ilvl w:val="0"/>
          <w:numId w:val="1426"/>
        </w:numPr>
        <w:rPr/>
      </w:pPr>
      <w:r>
        <w:rPr/>
        <w:t>rounding and dust;</w:t>
      </w:r>
    </w:p>
    <w:p>
      <w:pPr>
        <w:pStyle w:val="Compact"/>
        <w:widowControl/>
        <w:numPr>
          <w:ilvl w:val="0"/>
          <w:numId w:val="1427"/>
        </w:numPr>
        <w:rPr/>
      </w:pPr>
      <w:r>
        <w:rPr/>
        <w:t>pause and recovery modes;</w:t>
      </w:r>
    </w:p>
    <w:p>
      <w:pPr>
        <w:pStyle w:val="Compact"/>
        <w:widowControl/>
        <w:numPr>
          <w:ilvl w:val="0"/>
          <w:numId w:val="1428"/>
        </w:numPr>
        <w:rPr/>
      </w:pPr>
      <w:r>
        <w:rPr/>
        <w:t>governance upgrade boundaries;</w:t>
      </w:r>
    </w:p>
    <w:p>
      <w:pPr>
        <w:pStyle w:val="Compact"/>
        <w:widowControl/>
        <w:numPr>
          <w:ilvl w:val="0"/>
          <w:numId w:val="1429"/>
        </w:numPr>
        <w:rPr/>
      </w:pPr>
      <w:bookmarkStart w:id="566" w:name="economic-layer-security"/>
      <w:r>
        <w:rPr/>
        <w:t>interaction with exchanges and automated market makers.</w:t>
      </w:r>
      <w:bookmarkEnd w:id="566"/>
    </w:p>
    <w:p>
      <w:pPr>
        <w:pStyle w:val="Heading2"/>
        <w:keepNext w:val="true"/>
        <w:keepLines/>
        <w:widowControl/>
        <w:rPr/>
      </w:pPr>
      <w:bookmarkStart w:id="567" w:name="__RefHeading___Toc8737_528838595"/>
      <w:bookmarkEnd w:id="567"/>
      <w:r>
        <w:rPr/>
        <w:t>33.9 Incident response</w:t>
      </w:r>
    </w:p>
    <w:p>
      <w:pPr>
        <w:pStyle w:val="Normal"/>
        <w:rPr/>
      </w:pPr>
      <w:bookmarkStart w:id="568" w:name="security-architecture"/>
      <w:bookmarkStart w:id="569" w:name="incident-response"/>
      <w:r>
        <w:rPr/>
        <w:t>The incident process includes detection, classification, containment, evidence preservation, communication, remediation, independent review and post-mortem. Security incidents may affect PII, ERI, VRS and VCS according to predefined rules.</w:t>
      </w:r>
      <w:bookmarkEnd w:id="568"/>
      <w:bookmarkEnd w:id="569"/>
    </w:p>
    <w:p>
      <w:pPr>
        <w:pStyle w:val="Heading1"/>
        <w:keepNext w:val="true"/>
        <w:keepLines/>
        <w:widowControl/>
        <w:pBdr>
          <w:bottom w:val="single" w:sz="6" w:space="5" w:color="8AB2BF"/>
        </w:pBdr>
        <w:jc w:val="start"/>
        <w:rPr/>
      </w:pPr>
      <w:bookmarkStart w:id="570" w:name="__RefHeading___Toc8739_528838595"/>
      <w:bookmarkEnd w:id="570"/>
      <w:r>
        <w:rPr/>
        <w:t>34. Economic, Governance and Legal Risk</w:t>
      </w:r>
    </w:p>
    <w:p>
      <w:pPr>
        <w:pStyle w:val="Heading2"/>
        <w:keepNext w:val="true"/>
        <w:keepLines/>
        <w:widowControl/>
        <w:rPr/>
      </w:pPr>
      <w:bookmarkStart w:id="571" w:name="__RefHeading___Toc8741_528838595"/>
      <w:bookmarkEnd w:id="571"/>
      <w:r>
        <w:rPr/>
        <w:t>34.1 Model risk</w:t>
      </w:r>
    </w:p>
    <w:p>
      <w:pPr>
        <w:pStyle w:val="Normal"/>
        <w:rPr/>
      </w:pPr>
      <w:r>
        <w:rPr/>
        <w:t>Voxonomics simplifies complex economies. Metric definitions, transformations and benchmarks can be incomplete or wrong. Equal parent weighting improves neutrality but does not prove that the six dimensions have equal predictive importance for every use case.</w:t>
      </w:r>
    </w:p>
    <w:p>
      <w:pPr>
        <w:pStyle w:val="BodyText"/>
        <w:widowControl/>
        <w:rPr/>
      </w:pPr>
      <w:bookmarkStart w:id="572" w:name="model-risk"/>
      <w:r>
        <w:rPr/>
        <w:t>Mitigation is transparency, validation, versioning and the availability of component-level analysis.</w:t>
      </w:r>
      <w:bookmarkEnd w:id="572"/>
    </w:p>
    <w:p>
      <w:pPr>
        <w:pStyle w:val="Heading2"/>
        <w:keepNext w:val="true"/>
        <w:keepLines/>
        <w:widowControl/>
        <w:rPr/>
      </w:pPr>
      <w:bookmarkStart w:id="573" w:name="__RefHeading___Toc8743_528838595"/>
      <w:bookmarkEnd w:id="573"/>
      <w:r>
        <w:rPr/>
        <w:t>34.2 Goodhart’s law</w:t>
      </w:r>
    </w:p>
    <w:p>
      <w:pPr>
        <w:pStyle w:val="Normal"/>
        <w:rPr/>
      </w:pPr>
      <w:bookmarkStart w:id="574" w:name="goodharts-law"/>
      <w:r>
        <w:rPr/>
        <w:t>When a measure becomes a target, participants may optimise the measure rather than the underlying value. Voxonomics reduces this risk through multi-dimensional measurement, persistence, anti-gaming rules, periodic review and separation between measurement and issuance. It cannot eliminate the problem.</w:t>
      </w:r>
      <w:bookmarkEnd w:id="574"/>
    </w:p>
    <w:p>
      <w:pPr>
        <w:pStyle w:val="Heading2"/>
        <w:keepNext w:val="true"/>
        <w:keepLines/>
        <w:widowControl/>
        <w:rPr/>
      </w:pPr>
      <w:bookmarkStart w:id="575" w:name="__RefHeading___Toc8745_528838595"/>
      <w:bookmarkEnd w:id="575"/>
      <w:r>
        <w:rPr/>
        <w:t>34.3 Endogeneity and reflexivity</w:t>
      </w:r>
    </w:p>
    <w:p>
      <w:pPr>
        <w:pStyle w:val="Normal"/>
        <w:rPr/>
      </w:pPr>
      <w:bookmarkStart w:id="576" w:name="endogeneity-and-reflexivity"/>
      <w:r>
        <w:rPr/>
        <w:t>Metrics interact. Liquidity can attract users; users create fees; higher valuation funds development; an exploit can reduce both activity and liquidity. The six indices are not statistically independent. The framework treats them as distinct economic perspectives, not causal variables that can be added without interpretation.</w:t>
      </w:r>
      <w:bookmarkEnd w:id="576"/>
    </w:p>
    <w:p>
      <w:pPr>
        <w:pStyle w:val="Heading2"/>
        <w:keepNext w:val="true"/>
        <w:keepLines/>
        <w:widowControl/>
        <w:rPr/>
      </w:pPr>
      <w:bookmarkStart w:id="577" w:name="__RefHeading___Toc8747_528838595"/>
      <w:bookmarkEnd w:id="577"/>
      <w:r>
        <w:rPr/>
        <w:t>34.4 Governance legitimacy</w:t>
      </w:r>
    </w:p>
    <w:p>
      <w:pPr>
        <w:pStyle w:val="Normal"/>
        <w:rPr/>
      </w:pPr>
      <w:bookmarkStart w:id="578" w:name="governance-legitimacy"/>
      <w:r>
        <w:rPr/>
        <w:t>One global DAO creates consistency but also concentrates standard-setting responsibility. Legitimacy depends on open participation, expertise, capture resistance, conflicts policy and the ability to reproduce or fork the framework.</w:t>
      </w:r>
      <w:bookmarkEnd w:id="578"/>
    </w:p>
    <w:p>
      <w:pPr>
        <w:pStyle w:val="Heading2"/>
        <w:keepNext w:val="true"/>
        <w:keepLines/>
        <w:widowControl/>
        <w:rPr/>
      </w:pPr>
      <w:bookmarkStart w:id="579" w:name="__RefHeading___Toc8749_528838595"/>
      <w:bookmarkEnd w:id="579"/>
      <w:r>
        <w:rPr/>
        <w:t>34.5 Data inequality</w:t>
      </w:r>
    </w:p>
    <w:p>
      <w:pPr>
        <w:pStyle w:val="Normal"/>
        <w:rPr/>
      </w:pPr>
      <w:bookmarkStart w:id="580" w:name="data-inequality"/>
      <w:r>
        <w:rPr/>
        <w:t>Older and larger networks may have richer data and longer histories. New or privacy-preserving networks can receive lower VCS. This is not a judgement of their future potential, but it affects comparability. Provisional publication and explicit history requirements reduce false certainty.</w:t>
      </w:r>
      <w:bookmarkEnd w:id="580"/>
    </w:p>
    <w:p>
      <w:pPr>
        <w:pStyle w:val="Heading2"/>
        <w:keepNext w:val="true"/>
        <w:keepLines/>
        <w:widowControl/>
        <w:rPr/>
      </w:pPr>
      <w:bookmarkStart w:id="581" w:name="__RefHeading___Toc8751_528838595"/>
      <w:bookmarkEnd w:id="581"/>
      <w:r>
        <w:rPr/>
        <w:t>34.6 Regulatory risk</w:t>
      </w:r>
    </w:p>
    <w:p>
      <w:pPr>
        <w:pStyle w:val="Normal"/>
        <w:rPr/>
      </w:pPr>
      <w:bookmarkStart w:id="582" w:name="regulatory-risk"/>
      <w:r>
        <w:rPr/>
        <w:t>Laws governing digital assets, market data, financial promotion, privacy, token issuance, collective investment and decentralised governance vary by jurisdiction and change over time. The measurement framework should remain factual and transparent. Optional tokens and markets require separate legal analysis.</w:t>
      </w:r>
      <w:bookmarkEnd w:id="582"/>
    </w:p>
    <w:p>
      <w:pPr>
        <w:pStyle w:val="Heading2"/>
        <w:keepNext w:val="true"/>
        <w:keepLines/>
        <w:widowControl/>
        <w:rPr/>
      </w:pPr>
      <w:bookmarkStart w:id="583" w:name="__RefHeading___Toc8753_528838595"/>
      <w:bookmarkEnd w:id="583"/>
      <w:r>
        <w:rPr/>
        <w:t>34.7 Intellectual-property and licensing risk</w:t>
      </w:r>
    </w:p>
    <w:p>
      <w:pPr>
        <w:pStyle w:val="Normal"/>
        <w:rPr/>
      </w:pPr>
      <w:bookmarkStart w:id="584" w:name="intellectual-property-and-licensing-risk"/>
      <w:r>
        <w:rPr/>
        <w:t>Data, code and labels may have licence restrictions. The standard prioritises open methods and avoids dependence on data that cannot be verified. Contributors must respect source licences and attribution.</w:t>
      </w:r>
      <w:bookmarkEnd w:id="584"/>
    </w:p>
    <w:p>
      <w:pPr>
        <w:pStyle w:val="Heading2"/>
        <w:keepNext w:val="true"/>
        <w:keepLines/>
        <w:widowControl/>
        <w:rPr/>
      </w:pPr>
      <w:bookmarkStart w:id="585" w:name="__RefHeading___Toc8755_528838595"/>
      <w:bookmarkEnd w:id="585"/>
      <w:r>
        <w:rPr/>
        <w:t>34.8 Economic-layer solvency</w:t>
      </w:r>
    </w:p>
    <w:p>
      <w:pPr>
        <w:pStyle w:val="Normal"/>
        <w:rPr/>
      </w:pPr>
      <w:bookmarkStart w:id="586" w:name="economic-layer-solvency"/>
      <w:r>
        <w:rPr/>
        <w:t>An indexed supply mechanism changes quantity but does not create reserves or redemption value. VOX must not be marketed as collateral-backed or stable unless a separate audited design provides those properties.</w:t>
      </w:r>
      <w:bookmarkEnd w:id="586"/>
    </w:p>
    <w:p>
      <w:pPr>
        <w:pStyle w:val="Heading2"/>
        <w:keepNext w:val="true"/>
        <w:keepLines/>
        <w:widowControl/>
        <w:rPr/>
      </w:pPr>
      <w:bookmarkStart w:id="587" w:name="__RefHeading___Toc8757_528838595"/>
      <w:bookmarkEnd w:id="587"/>
      <w:r>
        <w:rPr/>
        <w:t>34.9 Concentration of optional VOX ownership</w:t>
      </w:r>
    </w:p>
    <w:p>
      <w:pPr>
        <w:pStyle w:val="Normal"/>
        <w:rPr/>
      </w:pPr>
      <w:bookmarkStart w:id="588" w:name="concentration-of-optional-vox-ownership"/>
      <w:r>
        <w:rPr/>
        <w:t>A universally calculated asset can still be distributed unfairly. Genesis allocation, treasury control and market concentration affect legitimacy and VRS even if the supply formula is neutral.</w:t>
      </w:r>
      <w:bookmarkEnd w:id="588"/>
    </w:p>
    <w:p>
      <w:pPr>
        <w:pStyle w:val="Heading2"/>
        <w:keepNext w:val="true"/>
        <w:keepLines/>
        <w:widowControl/>
        <w:rPr/>
      </w:pPr>
      <w:bookmarkStart w:id="589" w:name="__RefHeading___Toc8759_528838595"/>
      <w:bookmarkEnd w:id="589"/>
      <w:r>
        <w:rPr/>
        <w:t>34.10 Cross-chain systemic risk</w:t>
      </w:r>
    </w:p>
    <w:p>
      <w:pPr>
        <w:pStyle w:val="Normal"/>
        <w:rPr/>
      </w:pPr>
      <w:bookmarkStart w:id="590" w:name="economic-governance-and-legal-risk"/>
      <w:bookmarkStart w:id="591" w:name="cross-chain-systemic-risk"/>
      <w:r>
        <w:rPr/>
        <w:t>If VOX becomes widely used as collateral or settlement, correlated score changes, bridge failures or oracle interruptions could transmit stress across networks. Exposure limits, circuit breakers and staged adoption are necessary.</w:t>
      </w:r>
      <w:bookmarkEnd w:id="590"/>
      <w:bookmarkEnd w:id="591"/>
    </w:p>
    <w:p>
      <w:pPr>
        <w:pStyle w:val="Heading1"/>
        <w:keepNext w:val="true"/>
        <w:keepLines/>
        <w:widowControl/>
        <w:pBdr>
          <w:bottom w:val="single" w:sz="6" w:space="5" w:color="8AB2BF"/>
        </w:pBdr>
        <w:jc w:val="start"/>
        <w:rPr/>
      </w:pPr>
      <w:bookmarkStart w:id="592" w:name="__RefHeading___Toc8761_528838595"/>
      <w:bookmarkEnd w:id="592"/>
      <w:r>
        <w:rPr/>
        <w:t>35. Limitations and Responsible Interpretation</w:t>
      </w:r>
    </w:p>
    <w:p>
      <w:pPr>
        <w:pStyle w:val="Heading2"/>
        <w:keepNext w:val="true"/>
        <w:keepLines/>
        <w:widowControl/>
        <w:rPr/>
      </w:pPr>
      <w:bookmarkStart w:id="593" w:name="__RefHeading___Toc8763_528838595"/>
      <w:bookmarkStart w:id="594" w:name="a-model-not-absolute-truth"/>
      <w:bookmarkEnd w:id="593"/>
      <w:r>
        <w:rPr/>
        <w:t>35.1 A model, not absolute truth</w:t>
      </w:r>
    </w:p>
    <w:p>
      <w:pPr>
        <w:pStyle w:val="Normal"/>
        <w:rPr/>
      </w:pPr>
      <w:r>
        <w:rPr/>
        <w:t xml:space="preserve">VTS is a model-derived estimate of intrinsic network economic performance. The underlying observations may be objective, but metric selection, transformations and aggregation contain governance choices. The framework therefore uses the phrase </w:t>
      </w:r>
      <w:r>
        <w:rPr>
          <w:b/>
          <w:bCs/>
        </w:rPr>
        <w:t>verifiable economic measurement</w:t>
      </w:r>
      <w:r>
        <w:rPr/>
        <w:t>, not unquestionable economic truth.</w:t>
      </w:r>
      <w:bookmarkEnd w:id="594"/>
    </w:p>
    <w:p>
      <w:pPr>
        <w:pStyle w:val="Heading2"/>
        <w:keepNext w:val="true"/>
        <w:keepLines/>
        <w:widowControl/>
        <w:rPr/>
      </w:pPr>
      <w:bookmarkStart w:id="595" w:name="__RefHeading___Toc8765_528838595"/>
      <w:bookmarkEnd w:id="595"/>
      <w:r>
        <w:rPr/>
        <w:t>35.2 Address activity is not human identity</w:t>
      </w:r>
    </w:p>
    <w:p>
      <w:pPr>
        <w:pStyle w:val="Normal"/>
        <w:rPr/>
      </w:pPr>
      <w:bookmarkStart w:id="596" w:name="address-activity-is-not-human-identity"/>
      <w:r>
        <w:rPr/>
        <w:t>On-chain addresses may represent individuals, institutions, contracts, bots or shared services. Voxonomics avoids claiming a precise human user count where evidence does not support it.</w:t>
      </w:r>
      <w:bookmarkEnd w:id="596"/>
    </w:p>
    <w:p>
      <w:pPr>
        <w:pStyle w:val="Heading2"/>
        <w:keepNext w:val="true"/>
        <w:keepLines/>
        <w:widowControl/>
        <w:rPr/>
      </w:pPr>
      <w:bookmarkStart w:id="597" w:name="__RefHeading___Toc8767_528838595"/>
      <w:bookmarkEnd w:id="597"/>
      <w:r>
        <w:rPr/>
        <w:t>35.3 Off-chain activity can be under-observed</w:t>
      </w:r>
    </w:p>
    <w:p>
      <w:pPr>
        <w:pStyle w:val="Normal"/>
        <w:rPr/>
      </w:pPr>
      <w:bookmarkStart w:id="598" w:name="off-chain-activity-can-be-under-observed"/>
      <w:r>
        <w:rPr/>
        <w:t>A network may support valuable private, enterprise or off-chain activity that is not publicly visible. RWAI records verified evidence; it cannot score unverifiable claims.</w:t>
      </w:r>
      <w:bookmarkEnd w:id="598"/>
    </w:p>
    <w:p>
      <w:pPr>
        <w:pStyle w:val="Heading2"/>
        <w:keepNext w:val="true"/>
        <w:keepLines/>
        <w:widowControl/>
        <w:rPr/>
      </w:pPr>
      <w:bookmarkStart w:id="599" w:name="__RefHeading___Toc8769_528838595"/>
      <w:bookmarkEnd w:id="599"/>
      <w:r>
        <w:rPr/>
        <w:t>35.4 Security is partly unobservable</w:t>
      </w:r>
    </w:p>
    <w:p>
      <w:pPr>
        <w:pStyle w:val="Normal"/>
        <w:rPr/>
      </w:pPr>
      <w:bookmarkStart w:id="600" w:name="security-is-partly-unobservable"/>
      <w:r>
        <w:rPr/>
        <w:t>Undiscovered vulnerabilities and hidden operational dependencies cannot be measured directly. PII and VRS use available evidence and confidence, not guarantees.</w:t>
      </w:r>
      <w:bookmarkEnd w:id="600"/>
    </w:p>
    <w:p>
      <w:pPr>
        <w:pStyle w:val="Heading2"/>
        <w:keepNext w:val="true"/>
        <w:keepLines/>
        <w:widowControl/>
        <w:rPr/>
      </w:pPr>
      <w:bookmarkStart w:id="601" w:name="__RefHeading___Toc8771_528838595"/>
      <w:bookmarkEnd w:id="601"/>
      <w:r>
        <w:rPr/>
        <w:t>35.5 Market expectations can be rational</w:t>
      </w:r>
    </w:p>
    <w:p>
      <w:pPr>
        <w:pStyle w:val="Normal"/>
        <w:rPr/>
      </w:pPr>
      <w:bookmarkStart w:id="602" w:name="market-expectations-can-be-rational"/>
      <w:r>
        <w:rPr/>
        <w:t>A negative Opportunity Gap does not prove overvaluation. Markets may price future technology, network effects or regulatory outcomes before they appear in current data. Conversely, a positive gap may reflect risks omitted from VTS.</w:t>
      </w:r>
      <w:bookmarkEnd w:id="602"/>
    </w:p>
    <w:p>
      <w:pPr>
        <w:pStyle w:val="Heading2"/>
        <w:keepNext w:val="true"/>
        <w:keepLines/>
        <w:widowControl/>
        <w:rPr/>
      </w:pPr>
      <w:bookmarkStart w:id="603" w:name="__RefHeading___Toc8773_528838595"/>
      <w:bookmarkEnd w:id="603"/>
      <w:r>
        <w:rPr/>
        <w:t>35.6 Architecture remains economically relevant</w:t>
      </w:r>
    </w:p>
    <w:p>
      <w:pPr>
        <w:pStyle w:val="Normal"/>
        <w:rPr/>
      </w:pPr>
      <w:bookmarkStart w:id="604" w:name="X58e2e4e687d2c0a0f0b677c73f7327f94c74619"/>
      <w:r>
        <w:rPr/>
        <w:t>Universal definitions improve comparability but do not make architectures identical. Users should inspect adapters, parent indices and dependency profiles rather than relying only on VTS.</w:t>
      </w:r>
      <w:bookmarkEnd w:id="604"/>
    </w:p>
    <w:p>
      <w:pPr>
        <w:pStyle w:val="Heading2"/>
        <w:keepNext w:val="true"/>
        <w:keepLines/>
        <w:widowControl/>
        <w:rPr/>
      </w:pPr>
      <w:bookmarkStart w:id="605" w:name="__RefHeading___Toc8775_528838595"/>
      <w:bookmarkEnd w:id="605"/>
      <w:r>
        <w:rPr/>
        <w:t>35.7 Benchmarks can move</w:t>
      </w:r>
    </w:p>
    <w:p>
      <w:pPr>
        <w:pStyle w:val="Normal"/>
        <w:rPr/>
      </w:pPr>
      <w:bookmarkStart w:id="606" w:name="benchmarks-can-move"/>
      <w:r>
        <w:rPr/>
        <w:t>ERU is designed to track credible high-quality performance. A network’s VTS can change because its own performance changes, because the benchmark changes, or both. VoxUI separates these effects.</w:t>
      </w:r>
      <w:bookmarkEnd w:id="606"/>
    </w:p>
    <w:p>
      <w:pPr>
        <w:pStyle w:val="Heading2"/>
        <w:keepNext w:val="true"/>
        <w:keepLines/>
        <w:widowControl/>
        <w:rPr/>
      </w:pPr>
      <w:bookmarkStart w:id="607" w:name="__RefHeading___Toc8777_528838595"/>
      <w:bookmarkEnd w:id="607"/>
      <w:r>
        <w:rPr/>
        <w:t>35.8 Scores are not personalised advice</w:t>
      </w:r>
    </w:p>
    <w:p>
      <w:pPr>
        <w:pStyle w:val="Normal"/>
        <w:rPr/>
      </w:pPr>
      <w:bookmarkStart w:id="608" w:name="scores-are-not-personalised-advice"/>
      <w:r>
        <w:rPr/>
        <w:t>Voxonomics outputs do not account for an individual’s objectives, time horizon, liquidity needs, tax position or risk tolerance. They are research inputs.</w:t>
      </w:r>
      <w:bookmarkEnd w:id="608"/>
    </w:p>
    <w:p>
      <w:pPr>
        <w:pStyle w:val="Heading2"/>
        <w:keepNext w:val="true"/>
        <w:keepLines/>
        <w:widowControl/>
        <w:rPr/>
      </w:pPr>
      <w:bookmarkStart w:id="609" w:name="__RefHeading___Toc8779_528838595"/>
      <w:bookmarkEnd w:id="609"/>
      <w:r>
        <w:rPr/>
        <w:t>35.9 Finality of this edition</w:t>
      </w:r>
    </w:p>
    <w:p>
      <w:pPr>
        <w:pStyle w:val="Normal"/>
        <w:rPr/>
      </w:pPr>
      <w:bookmarkStart w:id="610" w:name="X31d888c314b77042b35e75b367285fdf9938212"/>
      <w:bookmarkStart w:id="611" w:name="finality-of-this-edition"/>
      <w:r>
        <w:rPr/>
        <w:t>Edition 3.1 resolves the structural contradictions of earlier drafts and defines the complete framework. Future evidence may justify improvements. Those improvements must be explicit, versioned and open to challenge.</w:t>
      </w:r>
      <w:bookmarkEnd w:id="610"/>
      <w:bookmarkEnd w:id="611"/>
      <w:r>
        <w:br w:type="page"/>
      </w:r>
    </w:p>
    <w:p>
      <w:pPr>
        <w:pStyle w:val="PartTitle"/>
        <w:spacing w:before="0" w:after="360"/>
        <w:rPr/>
      </w:pPr>
      <w:bookmarkStart w:id="612" w:name="__RefHeading___Toc8781_528838595"/>
      <w:bookmarkStart w:id="613" w:name="X488820702965bfac4228140ffd77b82ab4a9a14"/>
      <w:bookmarkEnd w:id="612"/>
      <w:r>
        <w:rPr/>
        <w:t>Part VIII — Implementation and Future Development</w:t>
      </w:r>
      <w:bookmarkEnd w:id="613"/>
    </w:p>
    <w:p>
      <w:pPr>
        <w:pStyle w:val="Heading1"/>
        <w:keepNext w:val="true"/>
        <w:keepLines/>
        <w:widowControl/>
        <w:pBdr>
          <w:bottom w:val="single" w:sz="6" w:space="5" w:color="8AB2BF"/>
        </w:pBdr>
        <w:jc w:val="start"/>
        <w:rPr/>
      </w:pPr>
      <w:bookmarkStart w:id="614" w:name="__RefHeading___Toc8783_528838595"/>
      <w:bookmarkEnd w:id="614"/>
      <w:r>
        <w:rPr/>
        <w:t>36. Roadmap</w:t>
      </w:r>
    </w:p>
    <w:p>
      <w:pPr>
        <w:pStyle w:val="Normal"/>
        <w:rPr/>
      </w:pPr>
      <w:r>
        <w:rPr/>
        <w:t>The roadmap prioritises measurement, validation and public infrastructure before monetary implementation. Dates are indicative and subject to governance, funding and audit readiness.</w:t>
      </w:r>
    </w:p>
    <w:p>
      <w:pPr>
        <w:pStyle w:val="Heading2"/>
        <w:keepNext w:val="true"/>
        <w:keepLines/>
        <w:widowControl/>
        <w:rPr/>
      </w:pPr>
      <w:bookmarkStart w:id="615" w:name="__RefHeading___Toc8785_528838595"/>
      <w:bookmarkEnd w:id="615"/>
      <w:r>
        <w:rPr/>
        <w:t>36.1 Phase 0 — Constitutional publication</w:t>
      </w:r>
    </w:p>
    <w:p>
      <w:pPr>
        <w:pStyle w:val="Normal"/>
        <w:rPr/>
      </w:pPr>
      <w:r>
        <w:rPr>
          <w:b/>
          <w:bCs/>
        </w:rPr>
        <w:t>Objective:</w:t>
      </w:r>
      <w:r>
        <w:rPr/>
        <w:t xml:space="preserve"> establish Edition 3.1 as the canonical specification.</w:t>
      </w:r>
    </w:p>
    <w:p>
      <w:pPr>
        <w:pStyle w:val="BodyText"/>
        <w:widowControl/>
        <w:rPr/>
      </w:pPr>
      <w:r>
        <w:rPr/>
        <w:t>Deliverables:</w:t>
      </w:r>
    </w:p>
    <w:p>
      <w:pPr>
        <w:pStyle w:val="Compact"/>
        <w:widowControl/>
        <w:numPr>
          <w:ilvl w:val="0"/>
          <w:numId w:val="1430"/>
        </w:numPr>
        <w:rPr/>
      </w:pPr>
      <w:r>
        <w:rPr/>
        <w:t>publish the whitepaper and machine-readable metric registry;</w:t>
      </w:r>
    </w:p>
    <w:p>
      <w:pPr>
        <w:pStyle w:val="Compact"/>
        <w:widowControl/>
        <w:numPr>
          <w:ilvl w:val="0"/>
          <w:numId w:val="1431"/>
        </w:numPr>
        <w:rPr/>
      </w:pPr>
      <w:r>
        <w:rPr/>
        <w:t>release governance constitution and contribution standards;</w:t>
      </w:r>
    </w:p>
    <w:p>
      <w:pPr>
        <w:pStyle w:val="Compact"/>
        <w:widowControl/>
        <w:numPr>
          <w:ilvl w:val="0"/>
          <w:numId w:val="1432"/>
        </w:numPr>
        <w:rPr/>
      </w:pPr>
      <w:r>
        <w:rPr/>
        <w:t>establish public repositories and issue tracking;</w:t>
      </w:r>
    </w:p>
    <w:p>
      <w:pPr>
        <w:pStyle w:val="Compact"/>
        <w:widowControl/>
        <w:numPr>
          <w:ilvl w:val="0"/>
          <w:numId w:val="1433"/>
        </w:numPr>
        <w:rPr/>
      </w:pPr>
      <w:r>
        <w:rPr/>
        <w:t>define canonical network and asset identifiers;</w:t>
      </w:r>
    </w:p>
    <w:p>
      <w:pPr>
        <w:pStyle w:val="Compact"/>
        <w:widowControl/>
        <w:numPr>
          <w:ilvl w:val="0"/>
          <w:numId w:val="1434"/>
        </w:numPr>
        <w:rPr/>
      </w:pPr>
      <w:r>
        <w:rPr/>
        <w:t>publish data-source and licensing policy;</w:t>
      </w:r>
    </w:p>
    <w:p>
      <w:pPr>
        <w:pStyle w:val="Compact"/>
        <w:widowControl/>
        <w:numPr>
          <w:ilvl w:val="0"/>
          <w:numId w:val="1435"/>
        </w:numPr>
        <w:rPr/>
      </w:pPr>
      <w:r>
        <w:rPr/>
        <w:t>invite academic, engineering and market-structure review.</w:t>
      </w:r>
    </w:p>
    <w:p>
      <w:pPr>
        <w:pStyle w:val="Normal"/>
        <w:rPr/>
      </w:pPr>
      <w:bookmarkStart w:id="616" w:name="phase-0-constitutional-publication"/>
      <w:r>
        <w:rPr/>
        <w:t>Exit condition: all constitutional definitions have stable identifiers and unresolved questions are recorded publicly.</w:t>
      </w:r>
      <w:bookmarkEnd w:id="616"/>
    </w:p>
    <w:p>
      <w:pPr>
        <w:pStyle w:val="Heading2"/>
        <w:keepNext w:val="true"/>
        <w:keepLines/>
        <w:widowControl/>
        <w:rPr/>
      </w:pPr>
      <w:bookmarkStart w:id="617" w:name="__RefHeading___Toc8787_528838595"/>
      <w:bookmarkEnd w:id="617"/>
      <w:r>
        <w:rPr/>
        <w:t>36.2 Phase 1 — Data and adapter prototype (0–6 months)</w:t>
      </w:r>
    </w:p>
    <w:p>
      <w:pPr>
        <w:pStyle w:val="Normal"/>
        <w:rPr/>
      </w:pPr>
      <w:r>
        <w:rPr>
          <w:b/>
          <w:bCs/>
        </w:rPr>
        <w:t>Objective:</w:t>
      </w:r>
      <w:r>
        <w:rPr/>
        <w:t xml:space="preserve"> prove that the six-index model can be implemented reproducibly across materially different architectures.</w:t>
      </w:r>
    </w:p>
    <w:p>
      <w:pPr>
        <w:pStyle w:val="BodyText"/>
        <w:widowControl/>
        <w:rPr/>
      </w:pPr>
      <w:r>
        <w:rPr/>
        <w:t>Deliverables:</w:t>
      </w:r>
    </w:p>
    <w:p>
      <w:pPr>
        <w:pStyle w:val="Compact"/>
        <w:widowControl/>
        <w:numPr>
          <w:ilvl w:val="0"/>
          <w:numId w:val="1436"/>
        </w:numPr>
        <w:rPr/>
      </w:pPr>
      <w:r>
        <w:rPr/>
        <w:t>build adapters for at least three contrasting networks;</w:t>
      </w:r>
    </w:p>
    <w:p>
      <w:pPr>
        <w:pStyle w:val="Compact"/>
        <w:widowControl/>
        <w:numPr>
          <w:ilvl w:val="0"/>
          <w:numId w:val="1437"/>
        </w:numPr>
        <w:rPr/>
      </w:pPr>
      <w:r>
        <w:rPr/>
        <w:t>establish archival data and deterministic index pipelines;</w:t>
      </w:r>
    </w:p>
    <w:p>
      <w:pPr>
        <w:pStyle w:val="Compact"/>
        <w:widowControl/>
        <w:numPr>
          <w:ilvl w:val="0"/>
          <w:numId w:val="1438"/>
        </w:numPr>
        <w:rPr/>
      </w:pPr>
      <w:r>
        <w:rPr/>
        <w:t>implement initial PoV, OPI, DLI, PII, RWAI and ERI registries;</w:t>
      </w:r>
    </w:p>
    <w:p>
      <w:pPr>
        <w:pStyle w:val="Compact"/>
        <w:widowControl/>
        <w:numPr>
          <w:ilvl w:val="0"/>
          <w:numId w:val="1439"/>
        </w:numPr>
        <w:rPr/>
      </w:pPr>
      <w:r>
        <w:rPr/>
        <w:t>publish raw observations and calculation manifests;</w:t>
      </w:r>
    </w:p>
    <w:p>
      <w:pPr>
        <w:pStyle w:val="Compact"/>
        <w:widowControl/>
        <w:numPr>
          <w:ilvl w:val="0"/>
          <w:numId w:val="1440"/>
        </w:numPr>
        <w:rPr/>
      </w:pPr>
      <w:r>
        <w:rPr/>
        <w:t>create automated tests and adapter fixtures;</w:t>
      </w:r>
    </w:p>
    <w:p>
      <w:pPr>
        <w:pStyle w:val="Compact"/>
        <w:widowControl/>
        <w:numPr>
          <w:ilvl w:val="0"/>
          <w:numId w:val="1441"/>
        </w:numPr>
        <w:rPr/>
      </w:pPr>
      <w:r>
        <w:rPr/>
        <w:t>launch a research-only VoxUI prototype.</w:t>
      </w:r>
    </w:p>
    <w:p>
      <w:pPr>
        <w:pStyle w:val="Normal"/>
        <w:rPr/>
      </w:pPr>
      <w:bookmarkStart w:id="618" w:name="Xfd975625b8400f88ca1b091fcb729ba5bbc8826"/>
      <w:r>
        <w:rPr/>
        <w:t>Exit condition: independent operators reproduce the same test scores from the same snapshots.</w:t>
      </w:r>
      <w:bookmarkEnd w:id="618"/>
    </w:p>
    <w:p>
      <w:pPr>
        <w:pStyle w:val="Heading2"/>
        <w:keepNext w:val="true"/>
        <w:keepLines/>
        <w:widowControl/>
        <w:rPr/>
      </w:pPr>
      <w:bookmarkStart w:id="619" w:name="__RefHeading___Toc8789_528838595"/>
      <w:bookmarkEnd w:id="619"/>
      <w:r>
        <w:rPr/>
        <w:t>36.3 Phase 2 — Calibration and validation (6–12 months)</w:t>
      </w:r>
    </w:p>
    <w:p>
      <w:pPr>
        <w:pStyle w:val="Normal"/>
        <w:rPr/>
      </w:pPr>
      <w:r>
        <w:rPr>
          <w:b/>
          <w:bCs/>
        </w:rPr>
        <w:t>Objective:</w:t>
      </w:r>
      <w:r>
        <w:rPr/>
        <w:t xml:space="preserve"> calibrate benchmarks without overfitting and identify metric defects.</w:t>
      </w:r>
    </w:p>
    <w:p>
      <w:pPr>
        <w:pStyle w:val="BodyText"/>
        <w:widowControl/>
        <w:rPr/>
      </w:pPr>
      <w:r>
        <w:rPr/>
        <w:t>Deliverables:</w:t>
      </w:r>
    </w:p>
    <w:p>
      <w:pPr>
        <w:pStyle w:val="Compact"/>
        <w:widowControl/>
        <w:numPr>
          <w:ilvl w:val="0"/>
          <w:numId w:val="1442"/>
        </w:numPr>
        <w:rPr/>
      </w:pPr>
      <w:r>
        <w:rPr/>
        <w:t>extend the sample across proof-of-work, proof-of-stake, rollup and application-chain architectures;</w:t>
      </w:r>
    </w:p>
    <w:p>
      <w:pPr>
        <w:pStyle w:val="Compact"/>
        <w:widowControl/>
        <w:numPr>
          <w:ilvl w:val="0"/>
          <w:numId w:val="1443"/>
        </w:numPr>
        <w:rPr/>
      </w:pPr>
      <w:r>
        <w:rPr/>
        <w:t>conduct historical event studies;</w:t>
      </w:r>
    </w:p>
    <w:p>
      <w:pPr>
        <w:pStyle w:val="Compact"/>
        <w:widowControl/>
        <w:numPr>
          <w:ilvl w:val="0"/>
          <w:numId w:val="1444"/>
        </w:numPr>
        <w:rPr/>
      </w:pPr>
      <w:r>
        <w:rPr/>
        <w:t>perform correlation, redundancy and sensitivity analysis;</w:t>
      </w:r>
    </w:p>
    <w:p>
      <w:pPr>
        <w:pStyle w:val="Compact"/>
        <w:widowControl/>
        <w:numPr>
          <w:ilvl w:val="0"/>
          <w:numId w:val="1445"/>
        </w:numPr>
        <w:rPr/>
      </w:pPr>
      <w:r>
        <w:rPr/>
        <w:t>calibrate benchmark anchors and smoothing windows;</w:t>
      </w:r>
    </w:p>
    <w:p>
      <w:pPr>
        <w:pStyle w:val="Compact"/>
        <w:widowControl/>
        <w:numPr>
          <w:ilvl w:val="0"/>
          <w:numId w:val="1446"/>
        </w:numPr>
        <w:rPr/>
      </w:pPr>
      <w:r>
        <w:rPr/>
        <w:t>publish the first VCS methodology and confidence reports;</w:t>
      </w:r>
    </w:p>
    <w:p>
      <w:pPr>
        <w:pStyle w:val="Compact"/>
        <w:widowControl/>
        <w:numPr>
          <w:ilvl w:val="0"/>
          <w:numId w:val="1447"/>
        </w:numPr>
        <w:rPr/>
      </w:pPr>
      <w:r>
        <w:rPr/>
        <w:t>commission independent economic and data audits.</w:t>
      </w:r>
    </w:p>
    <w:p>
      <w:pPr>
        <w:pStyle w:val="Normal"/>
        <w:rPr/>
      </w:pPr>
      <w:bookmarkStart w:id="620" w:name="X5b0ec658aa8fd6ef78f890e1a7b48b7eccd3640"/>
      <w:r>
        <w:rPr/>
        <w:t>Exit condition: methodology version 3.1.0 produces stable, interpretable results across the validation set.</w:t>
      </w:r>
      <w:bookmarkEnd w:id="620"/>
    </w:p>
    <w:p>
      <w:pPr>
        <w:pStyle w:val="Heading2"/>
        <w:keepNext w:val="true"/>
        <w:keepLines/>
        <w:widowControl/>
        <w:rPr/>
      </w:pPr>
      <w:bookmarkStart w:id="621" w:name="__RefHeading___Toc8791_528838595"/>
      <w:bookmarkEnd w:id="621"/>
      <w:r>
        <w:rPr/>
        <w:t>36.4 Phase 3 — Public measurement network (12–18 months)</w:t>
      </w:r>
    </w:p>
    <w:p>
      <w:pPr>
        <w:pStyle w:val="Normal"/>
        <w:rPr/>
      </w:pPr>
      <w:r>
        <w:rPr>
          <w:b/>
          <w:bCs/>
        </w:rPr>
        <w:t>Objective:</w:t>
      </w:r>
      <w:r>
        <w:rPr/>
        <w:t xml:space="preserve"> operate Voxonomics as a public, continuously updated measurement standard.</w:t>
      </w:r>
    </w:p>
    <w:p>
      <w:pPr>
        <w:pStyle w:val="BodyText"/>
        <w:widowControl/>
        <w:rPr/>
      </w:pPr>
      <w:r>
        <w:rPr/>
        <w:t>Deliverables:</w:t>
      </w:r>
    </w:p>
    <w:p>
      <w:pPr>
        <w:pStyle w:val="Compact"/>
        <w:widowControl/>
        <w:numPr>
          <w:ilvl w:val="0"/>
          <w:numId w:val="1448"/>
        </w:numPr>
        <w:rPr/>
      </w:pPr>
      <w:r>
        <w:rPr/>
        <w:t>certify production adapters;</w:t>
      </w:r>
    </w:p>
    <w:p>
      <w:pPr>
        <w:pStyle w:val="Compact"/>
        <w:widowControl/>
        <w:numPr>
          <w:ilvl w:val="0"/>
          <w:numId w:val="1449"/>
        </w:numPr>
        <w:rPr/>
      </w:pPr>
      <w:r>
        <w:rPr/>
        <w:t>launch public API and bulk datasets;</w:t>
      </w:r>
    </w:p>
    <w:p>
      <w:pPr>
        <w:pStyle w:val="Compact"/>
        <w:widowControl/>
        <w:numPr>
          <w:ilvl w:val="0"/>
          <w:numId w:val="1450"/>
        </w:numPr>
        <w:rPr/>
      </w:pPr>
      <w:r>
        <w:rPr/>
        <w:t>publish ERU and official VTS histories;</w:t>
      </w:r>
    </w:p>
    <w:p>
      <w:pPr>
        <w:pStyle w:val="Compact"/>
        <w:widowControl/>
        <w:numPr>
          <w:ilvl w:val="0"/>
          <w:numId w:val="1451"/>
        </w:numPr>
        <w:rPr/>
      </w:pPr>
      <w:r>
        <w:rPr/>
        <w:t>add VRI, Opportunity Gap, VRS and VCS dashboards;</w:t>
      </w:r>
    </w:p>
    <w:p>
      <w:pPr>
        <w:pStyle w:val="Compact"/>
        <w:widowControl/>
        <w:numPr>
          <w:ilvl w:val="0"/>
          <w:numId w:val="1452"/>
        </w:numPr>
        <w:rPr/>
      </w:pPr>
      <w:r>
        <w:rPr/>
        <w:t>establish dispute resolution and correction workflows;</w:t>
      </w:r>
    </w:p>
    <w:p>
      <w:pPr>
        <w:pStyle w:val="Compact"/>
        <w:widowControl/>
        <w:numPr>
          <w:ilvl w:val="0"/>
          <w:numId w:val="1453"/>
        </w:numPr>
        <w:rPr/>
      </w:pPr>
      <w:r>
        <w:rPr/>
        <w:t>publish quarterly methodology and system reports.</w:t>
      </w:r>
    </w:p>
    <w:p>
      <w:pPr>
        <w:pStyle w:val="Normal"/>
        <w:rPr/>
      </w:pPr>
      <w:bookmarkStart w:id="622" w:name="X4ccaa52c76c9f989b62979e1ca23eb1edf21bd2"/>
      <w:r>
        <w:rPr/>
        <w:t>Exit condition: official results meet coverage, confidence, reproducibility and governance requirements.</w:t>
      </w:r>
      <w:bookmarkEnd w:id="622"/>
    </w:p>
    <w:p>
      <w:pPr>
        <w:pStyle w:val="Heading2"/>
        <w:keepNext w:val="true"/>
        <w:keepLines/>
        <w:widowControl/>
        <w:rPr/>
      </w:pPr>
      <w:bookmarkStart w:id="623" w:name="__RefHeading___Toc8793_528838595"/>
      <w:bookmarkEnd w:id="623"/>
      <w:r>
        <w:rPr/>
        <w:t>36.5 Phase 4 — DAO genesis (18–24 months)</w:t>
      </w:r>
    </w:p>
    <w:p>
      <w:pPr>
        <w:pStyle w:val="Normal"/>
        <w:rPr/>
      </w:pPr>
      <w:r>
        <w:rPr>
          <w:b/>
          <w:bCs/>
        </w:rPr>
        <w:t>Objective:</w:t>
      </w:r>
      <w:r>
        <w:rPr/>
        <w:t xml:space="preserve"> transfer standard-setting and treasury functions to decentralised governance.</w:t>
      </w:r>
    </w:p>
    <w:p>
      <w:pPr>
        <w:pStyle w:val="BodyText"/>
        <w:widowControl/>
        <w:rPr/>
      </w:pPr>
      <w:r>
        <w:rPr/>
        <w:t>Deliverables:</w:t>
      </w:r>
    </w:p>
    <w:p>
      <w:pPr>
        <w:pStyle w:val="Compact"/>
        <w:widowControl/>
        <w:numPr>
          <w:ilvl w:val="0"/>
          <w:numId w:val="1454"/>
        </w:numPr>
        <w:rPr/>
      </w:pPr>
      <w:r>
        <w:rPr/>
        <w:t>deploy governance contracts and timelocks;</w:t>
      </w:r>
    </w:p>
    <w:p>
      <w:pPr>
        <w:pStyle w:val="Compact"/>
        <w:widowControl/>
        <w:numPr>
          <w:ilvl w:val="0"/>
          <w:numId w:val="1455"/>
        </w:numPr>
        <w:rPr/>
      </w:pPr>
      <w:r>
        <w:rPr/>
        <w:t>elect or form technical and audit bodies;</w:t>
      </w:r>
    </w:p>
    <w:p>
      <w:pPr>
        <w:pStyle w:val="Compact"/>
        <w:widowControl/>
        <w:numPr>
          <w:ilvl w:val="0"/>
          <w:numId w:val="1456"/>
        </w:numPr>
        <w:rPr/>
      </w:pPr>
      <w:r>
        <w:rPr/>
        <w:t>fund open-source adapters and research;</w:t>
      </w:r>
    </w:p>
    <w:p>
      <w:pPr>
        <w:pStyle w:val="Compact"/>
        <w:widowControl/>
        <w:numPr>
          <w:ilvl w:val="0"/>
          <w:numId w:val="1457"/>
        </w:numPr>
        <w:rPr/>
      </w:pPr>
      <w:r>
        <w:rPr/>
        <w:t>activate conflict disclosure and delegate reporting;</w:t>
      </w:r>
    </w:p>
    <w:p>
      <w:pPr>
        <w:pStyle w:val="Compact"/>
        <w:widowControl/>
        <w:numPr>
          <w:ilvl w:val="0"/>
          <w:numId w:val="1458"/>
        </w:numPr>
        <w:rPr/>
      </w:pPr>
      <w:r>
        <w:rPr/>
        <w:t>test emergency and version-upgrade procedures;</w:t>
      </w:r>
    </w:p>
    <w:p>
      <w:pPr>
        <w:pStyle w:val="Compact"/>
        <w:widowControl/>
        <w:numPr>
          <w:ilvl w:val="0"/>
          <w:numId w:val="1459"/>
        </w:numPr>
        <w:rPr/>
      </w:pPr>
      <w:r>
        <w:rPr/>
        <w:t>preserve an independent reproducible fallback of the last valid standard.</w:t>
      </w:r>
    </w:p>
    <w:p>
      <w:pPr>
        <w:pStyle w:val="Normal"/>
        <w:rPr/>
      </w:pPr>
      <w:bookmarkStart w:id="624" w:name="phase-4-dao-genesis-1824-months"/>
      <w:r>
        <w:rPr/>
        <w:t>Exit condition: governance executes at least one complete non-critical versioned update successfully.</w:t>
      </w:r>
      <w:bookmarkEnd w:id="624"/>
    </w:p>
    <w:p>
      <w:pPr>
        <w:pStyle w:val="Heading2"/>
        <w:keepNext w:val="true"/>
        <w:keepLines/>
        <w:widowControl/>
        <w:rPr/>
      </w:pPr>
      <w:bookmarkStart w:id="625" w:name="__RefHeading___Toc8795_528838595"/>
      <w:bookmarkEnd w:id="625"/>
      <w:r>
        <w:rPr/>
        <w:t>36.6 Phase 5 — Index V-FOREX (24–30 months)</w:t>
      </w:r>
    </w:p>
    <w:p>
      <w:pPr>
        <w:pStyle w:val="Normal"/>
        <w:rPr/>
      </w:pPr>
      <w:r>
        <w:rPr>
          <w:b/>
          <w:bCs/>
        </w:rPr>
        <w:t>Objective:</w:t>
      </w:r>
      <w:r>
        <w:rPr/>
        <w:t xml:space="preserve"> launch non-tokenised VTS pair references.</w:t>
      </w:r>
    </w:p>
    <w:p>
      <w:pPr>
        <w:pStyle w:val="BodyText"/>
        <w:widowControl/>
        <w:rPr/>
      </w:pPr>
      <w:r>
        <w:rPr/>
        <w:t>Deliverables:</w:t>
      </w:r>
    </w:p>
    <w:p>
      <w:pPr>
        <w:pStyle w:val="Compact"/>
        <w:widowControl/>
        <w:numPr>
          <w:ilvl w:val="0"/>
          <w:numId w:val="1460"/>
        </w:numPr>
        <w:rPr/>
      </w:pPr>
      <w:r>
        <w:rPr/>
        <w:t>publish all eligible VTS/VTS reference pairs;</w:t>
      </w:r>
    </w:p>
    <w:p>
      <w:pPr>
        <w:pStyle w:val="Compact"/>
        <w:widowControl/>
        <w:numPr>
          <w:ilvl w:val="0"/>
          <w:numId w:val="1461"/>
        </w:numPr>
        <w:rPr/>
      </w:pPr>
      <w:r>
        <w:rPr/>
        <w:t>create historical pair charts and benchmark indices;</w:t>
      </w:r>
    </w:p>
    <w:p>
      <w:pPr>
        <w:pStyle w:val="Compact"/>
        <w:widowControl/>
        <w:numPr>
          <w:ilvl w:val="0"/>
          <w:numId w:val="1462"/>
        </w:numPr>
        <w:rPr/>
      </w:pPr>
      <w:r>
        <w:rPr/>
        <w:t>test stale-rate, dispute and suspension rules;</w:t>
      </w:r>
    </w:p>
    <w:p>
      <w:pPr>
        <w:pStyle w:val="Compact"/>
        <w:widowControl/>
        <w:numPr>
          <w:ilvl w:val="0"/>
          <w:numId w:val="1463"/>
        </w:numPr>
        <w:rPr/>
      </w:pPr>
      <w:r>
        <w:rPr/>
        <w:t>support research integrations and simulated portfolios;</w:t>
      </w:r>
    </w:p>
    <w:p>
      <w:pPr>
        <w:pStyle w:val="Compact"/>
        <w:widowControl/>
        <w:numPr>
          <w:ilvl w:val="0"/>
          <w:numId w:val="1464"/>
        </w:numPr>
        <w:rPr/>
      </w:pPr>
      <w:r>
        <w:rPr/>
        <w:t>conduct manipulation and economic-incentive analysis.</w:t>
      </w:r>
    </w:p>
    <w:p>
      <w:pPr>
        <w:pStyle w:val="Normal"/>
        <w:rPr/>
      </w:pPr>
      <w:bookmarkStart w:id="626" w:name="phase-5-index-v-forex-2430-months"/>
      <w:r>
        <w:rPr/>
        <w:t>Exit condition: reference rates operate reliably without dependency on a tradable VOX asset.</w:t>
      </w:r>
      <w:bookmarkEnd w:id="626"/>
    </w:p>
    <w:p>
      <w:pPr>
        <w:pStyle w:val="Heading2"/>
        <w:keepNext w:val="true"/>
        <w:keepLines/>
        <w:widowControl/>
        <w:rPr/>
      </w:pPr>
      <w:bookmarkStart w:id="627" w:name="__RefHeading___Toc8797_528838595"/>
      <w:bookmarkEnd w:id="627"/>
      <w:r>
        <w:rPr/>
        <w:t>36.7 Phase 6 — Optional VOX sandbox (30–42 months)</w:t>
      </w:r>
    </w:p>
    <w:p>
      <w:pPr>
        <w:pStyle w:val="Normal"/>
        <w:rPr/>
      </w:pPr>
      <w:r>
        <w:rPr>
          <w:b/>
          <w:bCs/>
        </w:rPr>
        <w:t>Objective:</w:t>
      </w:r>
      <w:r>
        <w:rPr/>
        <w:t xml:space="preserve"> evaluate tokenised VOX in a controlled environment.</w:t>
      </w:r>
    </w:p>
    <w:p>
      <w:pPr>
        <w:pStyle w:val="BodyText"/>
        <w:widowControl/>
        <w:rPr/>
      </w:pPr>
      <w:r>
        <w:rPr/>
        <w:t>Deliverables:</w:t>
      </w:r>
    </w:p>
    <w:p>
      <w:pPr>
        <w:pStyle w:val="Compact"/>
        <w:widowControl/>
        <w:numPr>
          <w:ilvl w:val="0"/>
          <w:numId w:val="1465"/>
        </w:numPr>
        <w:rPr/>
      </w:pPr>
      <w:r>
        <w:rPr/>
        <w:t>formalise indexed-balance supply contracts;</w:t>
      </w:r>
    </w:p>
    <w:p>
      <w:pPr>
        <w:pStyle w:val="Compact"/>
        <w:widowControl/>
        <w:numPr>
          <w:ilvl w:val="0"/>
          <w:numId w:val="1466"/>
        </w:numPr>
        <w:rPr/>
      </w:pPr>
      <w:r>
        <w:rPr/>
        <w:t>complete independent code, economic and legal audits;</w:t>
      </w:r>
    </w:p>
    <w:p>
      <w:pPr>
        <w:pStyle w:val="Compact"/>
        <w:widowControl/>
        <w:numPr>
          <w:ilvl w:val="0"/>
          <w:numId w:val="1467"/>
        </w:numPr>
        <w:rPr/>
      </w:pPr>
      <w:r>
        <w:rPr/>
        <w:t>run closed and public test networks;</w:t>
      </w:r>
    </w:p>
    <w:p>
      <w:pPr>
        <w:pStyle w:val="Compact"/>
        <w:widowControl/>
        <w:numPr>
          <w:ilvl w:val="0"/>
          <w:numId w:val="1468"/>
        </w:numPr>
        <w:rPr/>
      </w:pPr>
      <w:r>
        <w:rPr/>
        <w:t>simulate contraction, bridge, exchange and collateral scenarios;</w:t>
      </w:r>
    </w:p>
    <w:p>
      <w:pPr>
        <w:pStyle w:val="Compact"/>
        <w:widowControl/>
        <w:numPr>
          <w:ilvl w:val="0"/>
          <w:numId w:val="1469"/>
        </w:numPr>
        <w:rPr/>
      </w:pPr>
      <w:r>
        <w:rPr/>
        <w:t>define activation and safe-mode thresholds;</w:t>
      </w:r>
    </w:p>
    <w:p>
      <w:pPr>
        <w:pStyle w:val="Compact"/>
        <w:widowControl/>
        <w:numPr>
          <w:ilvl w:val="0"/>
          <w:numId w:val="1470"/>
        </w:numPr>
        <w:rPr/>
      </w:pPr>
      <w:r>
        <w:rPr/>
        <w:t>publish token distribution and governance design.</w:t>
      </w:r>
    </w:p>
    <w:p>
      <w:pPr>
        <w:pStyle w:val="Normal"/>
        <w:rPr/>
      </w:pPr>
      <w:bookmarkStart w:id="628" w:name="phase-6-optional-vox-sandbox-3042-months"/>
      <w:r>
        <w:rPr/>
        <w:t>Exit condition: no production activation until all constitutional thresholds and audits are satisfied.</w:t>
      </w:r>
      <w:bookmarkEnd w:id="628"/>
    </w:p>
    <w:p>
      <w:pPr>
        <w:pStyle w:val="Heading2"/>
        <w:keepNext w:val="true"/>
        <w:keepLines/>
        <w:widowControl/>
        <w:rPr/>
      </w:pPr>
      <w:bookmarkStart w:id="629" w:name="__RefHeading___Toc8799_528838595"/>
      <w:bookmarkEnd w:id="629"/>
      <w:r>
        <w:rPr/>
        <w:t>36.8 Phase 7 — Limited production activation (42–60 months)</w:t>
      </w:r>
    </w:p>
    <w:p>
      <w:pPr>
        <w:pStyle w:val="Normal"/>
        <w:rPr/>
      </w:pPr>
      <w:r>
        <w:rPr>
          <w:b/>
          <w:bCs/>
        </w:rPr>
        <w:t>Objective:</w:t>
      </w:r>
      <w:r>
        <w:rPr/>
        <w:t xml:space="preserve"> activate optional economic components gradually where justified.</w:t>
      </w:r>
    </w:p>
    <w:p>
      <w:pPr>
        <w:pStyle w:val="BodyText"/>
        <w:widowControl/>
        <w:rPr/>
      </w:pPr>
      <w:r>
        <w:rPr/>
        <w:t>Deliverables:</w:t>
      </w:r>
    </w:p>
    <w:p>
      <w:pPr>
        <w:pStyle w:val="Compact"/>
        <w:widowControl/>
        <w:numPr>
          <w:ilvl w:val="0"/>
          <w:numId w:val="1471"/>
        </w:numPr>
        <w:rPr/>
      </w:pPr>
      <w:r>
        <w:rPr/>
        <w:t>start with a small number of high-confidence networks;</w:t>
      </w:r>
    </w:p>
    <w:p>
      <w:pPr>
        <w:pStyle w:val="Compact"/>
        <w:widowControl/>
        <w:numPr>
          <w:ilvl w:val="0"/>
          <w:numId w:val="1472"/>
        </w:numPr>
        <w:rPr/>
      </w:pPr>
      <w:r>
        <w:rPr/>
        <w:t>apply issuance and market exposure caps;</w:t>
      </w:r>
    </w:p>
    <w:p>
      <w:pPr>
        <w:pStyle w:val="Compact"/>
        <w:widowControl/>
        <w:numPr>
          <w:ilvl w:val="0"/>
          <w:numId w:val="1473"/>
        </w:numPr>
        <w:rPr/>
      </w:pPr>
      <w:r>
        <w:rPr/>
        <w:t>establish transparent liquidity and market surveillance;</w:t>
      </w:r>
    </w:p>
    <w:p>
      <w:pPr>
        <w:pStyle w:val="Compact"/>
        <w:widowControl/>
        <w:numPr>
          <w:ilvl w:val="0"/>
          <w:numId w:val="1474"/>
        </w:numPr>
        <w:rPr/>
      </w:pPr>
      <w:r>
        <w:rPr/>
        <w:t>prohibit broad collateral use during the initial period;</w:t>
      </w:r>
    </w:p>
    <w:p>
      <w:pPr>
        <w:pStyle w:val="Compact"/>
        <w:widowControl/>
        <w:numPr>
          <w:ilvl w:val="0"/>
          <w:numId w:val="1475"/>
        </w:numPr>
        <w:rPr/>
      </w:pPr>
      <w:r>
        <w:rPr/>
        <w:t>publish continuous risk, concentration and manipulation reports;</w:t>
      </w:r>
    </w:p>
    <w:p>
      <w:pPr>
        <w:pStyle w:val="Compact"/>
        <w:widowControl/>
        <w:numPr>
          <w:ilvl w:val="0"/>
          <w:numId w:val="1476"/>
        </w:numPr>
        <w:rPr/>
      </w:pPr>
      <w:r>
        <w:rPr/>
        <w:t>retain governance-controlled rollback to measurement-only mode.</w:t>
      </w:r>
    </w:p>
    <w:p>
      <w:pPr>
        <w:pStyle w:val="Normal"/>
        <w:rPr/>
      </w:pPr>
      <w:bookmarkStart w:id="630" w:name="Xa7675d5a2875766ce47a320d90296b5bf86c6d6"/>
      <w:r>
        <w:rPr/>
        <w:t>Exit condition: sustained safe operation under normal and stress conditions.</w:t>
      </w:r>
      <w:bookmarkEnd w:id="630"/>
    </w:p>
    <w:p>
      <w:pPr>
        <w:pStyle w:val="Heading2"/>
        <w:keepNext w:val="true"/>
        <w:keepLines/>
        <w:widowControl/>
        <w:rPr/>
      </w:pPr>
      <w:bookmarkStart w:id="631" w:name="__RefHeading___Toc8801_528838595"/>
      <w:bookmarkEnd w:id="631"/>
      <w:r>
        <w:rPr/>
        <w:t>36.9 Phase 8 — Global standard and optional coordination chain</w:t>
      </w:r>
    </w:p>
    <w:p>
      <w:pPr>
        <w:pStyle w:val="Normal"/>
        <w:rPr/>
      </w:pPr>
      <w:r>
        <w:rPr/>
        <w:t>A dedicated coordination chain may later host governance, signed snapshots, adapter registries, disputes and cross-chain clearing. It is optional. The framework must not depend on a new chain merely to remain measurable or open.</w:t>
      </w:r>
    </w:p>
    <w:p>
      <w:pPr>
        <w:pStyle w:val="BodyText"/>
        <w:widowControl/>
        <w:rPr/>
      </w:pPr>
      <w:r>
        <w:rPr/>
        <w:t>Long-term extensions may include:</w:t>
      </w:r>
    </w:p>
    <w:p>
      <w:pPr>
        <w:pStyle w:val="Compact"/>
        <w:widowControl/>
        <w:numPr>
          <w:ilvl w:val="0"/>
          <w:numId w:val="1477"/>
        </w:numPr>
        <w:rPr/>
      </w:pPr>
      <w:r>
        <w:rPr/>
        <w:t>VTS-indexed research products;</w:t>
      </w:r>
    </w:p>
    <w:p>
      <w:pPr>
        <w:pStyle w:val="Compact"/>
        <w:widowControl/>
        <w:numPr>
          <w:ilvl w:val="0"/>
          <w:numId w:val="1478"/>
        </w:numPr>
        <w:rPr/>
      </w:pPr>
      <w:r>
        <w:rPr/>
        <w:t>network economic accounts;</w:t>
      </w:r>
    </w:p>
    <w:p>
      <w:pPr>
        <w:pStyle w:val="Compact"/>
        <w:widowControl/>
        <w:numPr>
          <w:ilvl w:val="0"/>
          <w:numId w:val="1479"/>
        </w:numPr>
        <w:rPr/>
      </w:pPr>
      <w:r>
        <w:rPr/>
        <w:t>risk-adjusted lending limits;</w:t>
      </w:r>
    </w:p>
    <w:p>
      <w:pPr>
        <w:pStyle w:val="Compact"/>
        <w:widowControl/>
        <w:numPr>
          <w:ilvl w:val="0"/>
          <w:numId w:val="1480"/>
        </w:numPr>
        <w:rPr/>
      </w:pPr>
      <w:r>
        <w:rPr/>
        <w:t>public-sector and institutional data integrations;</w:t>
      </w:r>
    </w:p>
    <w:p>
      <w:pPr>
        <w:pStyle w:val="Compact"/>
        <w:widowControl/>
        <w:numPr>
          <w:ilvl w:val="0"/>
          <w:numId w:val="1481"/>
        </w:numPr>
        <w:rPr/>
      </w:pPr>
      <w:r>
        <w:rPr/>
        <w:t>automated cross-chain settlement;</w:t>
      </w:r>
    </w:p>
    <w:p>
      <w:pPr>
        <w:pStyle w:val="Compact"/>
        <w:widowControl/>
        <w:numPr>
          <w:ilvl w:val="0"/>
          <w:numId w:val="1482"/>
        </w:numPr>
        <w:rPr/>
      </w:pPr>
      <w:r>
        <w:rPr/>
        <w:t>network economic stress testing;</w:t>
      </w:r>
    </w:p>
    <w:p>
      <w:pPr>
        <w:pStyle w:val="Compact"/>
        <w:widowControl/>
        <w:numPr>
          <w:ilvl w:val="0"/>
          <w:numId w:val="1483"/>
        </w:numPr>
        <w:rPr/>
      </w:pPr>
      <w:bookmarkStart w:id="632" w:name="roadmap"/>
      <w:bookmarkStart w:id="633" w:name="Xb49a3157893f48cd8cfd7e6107a15bcdc8b1824"/>
      <w:r>
        <w:rPr/>
        <w:t>open academic datasets and annual standards review.</w:t>
      </w:r>
      <w:bookmarkEnd w:id="632"/>
      <w:bookmarkEnd w:id="633"/>
    </w:p>
    <w:p>
      <w:pPr>
        <w:pStyle w:val="Heading1"/>
        <w:keepNext w:val="true"/>
        <w:keepLines/>
        <w:widowControl/>
        <w:pBdr>
          <w:bottom w:val="single" w:sz="6" w:space="5" w:color="8AB2BF"/>
        </w:pBdr>
        <w:jc w:val="start"/>
        <w:rPr/>
      </w:pPr>
      <w:bookmarkStart w:id="634" w:name="__RefHeading___Toc8803_528838595"/>
      <w:bookmarkEnd w:id="634"/>
      <w:r>
        <w:rPr/>
        <w:t>37. Conclusion</w:t>
      </w:r>
    </w:p>
    <w:p>
      <w:pPr>
        <w:pStyle w:val="Normal"/>
        <w:rPr/>
      </w:pPr>
      <w:r>
        <w:rPr/>
        <w:t xml:space="preserve">Blockchains created verifiable digital state but not a universal economic language. Their markets developed around price, supply, narratives and fragmented indicators. Those signals are useful, yet they do not answer a deeper question: </w:t>
      </w:r>
      <w:r>
        <w:rPr>
          <w:b/>
          <w:bCs/>
        </w:rPr>
        <w:t>How well does a network function as an economy?</w:t>
      </w:r>
    </w:p>
    <w:p>
      <w:pPr>
        <w:pStyle w:val="BodyText"/>
        <w:widowControl/>
        <w:rPr/>
      </w:pPr>
      <w:r>
        <w:rPr/>
        <w:t>Voxonomics answers that question through six equal pillars. Proof of Value measures economic output and sustainable value capture. OPI measures productive participation. DLI measures usable and resilient liquidity. PII measures security, decentralisation and operational integrity. RWAI measures verifiable connection to the wider economy. ERI measures the ability to retain function and recover through stress.</w:t>
      </w:r>
    </w:p>
    <w:p>
      <w:pPr>
        <w:pStyle w:val="BodyText"/>
        <w:widowControl/>
        <w:rPr/>
      </w:pPr>
      <w:r>
        <w:rPr/>
        <w:t>Together they form VTS, standardised against the Economic Reference Unit. VRI then measures market recognition. The Opportunity Gap shows divergence between fundamentals and recognition. VRS makes structural risk explicit. VCS shows how much confidence the evidence deserves.</w:t>
      </w:r>
    </w:p>
    <w:p>
      <w:pPr>
        <w:pStyle w:val="BodyText"/>
        <w:widowControl/>
        <w:rPr/>
      </w:pPr>
      <w:r>
        <w:rPr/>
        <w:t>This architecture resolves an important category error: market price is not intrinsic measurement, and intrinsic measurement is not a guaranteed price. The optional VOX and V-FOREX layers are therefore separated from the measurement engine. A network can be studied without permission and without token issuance. A future economic implementation must earn activation through evidence, audits, governance and market safety.</w:t>
      </w:r>
    </w:p>
    <w:p>
      <w:pPr>
        <w:pStyle w:val="BodyText"/>
        <w:widowControl/>
        <w:rPr/>
      </w:pPr>
      <w:r>
        <w:rPr/>
        <w:t>Voxonomics also rejects false neutrality. It does not fill missing data with arbitrary average scores. It does not force proof-of-work, proof-of-stake and rollup networks into identical raw fields. It does not describe model outputs as unquestionable truth. Instead, it standardises economic definitions, publishes architecture-specific adapters, exposes uncertainty and preserves every methodology version.</w:t>
      </w:r>
    </w:p>
    <w:p>
      <w:pPr>
        <w:pStyle w:val="BodyText"/>
        <w:widowControl/>
        <w:rPr/>
      </w:pPr>
      <w:r>
        <w:rPr/>
        <w:t>The framework is ambitious because the problem is large. Digital economies need a common reference that is open, comparable and resistant to capture. That reference cannot depend on one company, one chain, one data provider or one market narrative. It must be governed as a public standard and remain reproducible by anyone.</w:t>
      </w:r>
    </w:p>
    <w:p>
      <w:pPr>
        <w:pStyle w:val="BodyText"/>
        <w:widowControl/>
        <w:rPr/>
      </w:pPr>
      <w:r>
        <w:rPr/>
        <w:t xml:space="preserve">Voxonomics carries its name with intent. </w:t>
      </w:r>
      <w:r>
        <w:rPr>
          <w:i/>
          <w:iCs/>
        </w:rPr>
        <w:t>Vox</w:t>
      </w:r>
      <w:r>
        <w:rPr/>
        <w:t xml:space="preserve"> is Latin for voice. The project’s purpose is to give public economic evidence a voice strong enough to be heard above speculation, opacity and selective measurement.</w:t>
      </w:r>
    </w:p>
    <w:p>
      <w:pPr>
        <w:pStyle w:val="Normal"/>
        <w:rPr/>
      </w:pPr>
      <w:bookmarkStart w:id="635" w:name="conclusion"/>
      <w:r>
        <w:rPr>
          <w:b/>
          <w:bCs/>
        </w:rPr>
        <w:t>Value should reflect verifiable economic reality. Trust should be earned through evidence. The standard itself should remain accountable to the people who can verify it.</w:t>
      </w:r>
      <w:bookmarkEnd w:id="635"/>
    </w:p>
    <w:p>
      <w:pPr>
        <w:pStyle w:val="PartTitle"/>
        <w:rPr/>
      </w:pPr>
      <w:bookmarkStart w:id="636" w:name="__RefHeading___Toc11397_1706184067"/>
      <w:bookmarkEnd w:id="636"/>
      <w:r>
        <w:rPr/>
        <w:t>Appendices</w:t>
      </w:r>
    </w:p>
    <w:p>
      <w:pPr>
        <w:pStyle w:val="Heading1"/>
        <w:keepNext w:val="true"/>
        <w:keepLines/>
        <w:widowControl/>
        <w:pBdr>
          <w:bottom w:val="single" w:sz="6" w:space="5" w:color="8AB2BF"/>
        </w:pBdr>
        <w:jc w:val="start"/>
        <w:rPr/>
      </w:pPr>
      <w:bookmarkStart w:id="637" w:name="__RefHeading___Toc8805_528838595"/>
      <w:bookmarkEnd w:id="637"/>
      <w:r>
        <w:rPr/>
        <w:t>Appendix A — Mathematical Specification</w:t>
      </w:r>
    </w:p>
    <w:p>
      <w:pPr>
        <w:pStyle w:val="Heading2"/>
        <w:keepNext w:val="true"/>
        <w:keepLines/>
        <w:widowControl/>
        <w:rPr/>
      </w:pPr>
      <w:bookmarkStart w:id="638" w:name="__RefHeading___Toc8807_528838595"/>
      <w:bookmarkEnd w:id="638"/>
      <w:r>
        <w:rPr/>
        <w:t>A.1 Notation</w:t>
      </w:r>
    </w:p>
    <w:tbl>
      <w:tblPr>
        <w:tblStyle w:val="Table"/>
        <w:tblW w:w="7920" w:type="dxa"/>
        <w:jc w:val="center"/>
        <w:tblInd w:w="0" w:type="dxa"/>
        <w:tblLayout w:type="fixed"/>
        <w:tblCellMar>
          <w:top w:w="80" w:type="dxa"/>
          <w:start w:w="100" w:type="dxa"/>
          <w:bottom w:w="80" w:type="dxa"/>
          <w:end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Symbol</w:t>
            </w:r>
          </w:p>
        </w:tc>
        <w:tc>
          <w:tcPr>
            <w:tcW w:w="395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Definition</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Normal"/>
              <w:suppressAutoHyphens w:val="true"/>
              <w:spacing w:before="0" w:after="120"/>
              <w:jc w:val="center"/>
              <w:rPr/>
            </w:pPr>
            <w:r>
              <w:rPr>
                <w:rFonts w:ascii="Cambria Math" w:hAnsi="Cambria Math"/>
                <w:sz w:val="20"/>
              </w:rPr>
              <w:t>x</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Raw observation</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Normal"/>
              <w:suppressAutoHyphens w:val="true"/>
              <w:spacing w:before="0" w:after="120"/>
              <w:jc w:val="center"/>
              <w:rPr/>
            </w:pPr>
            <w:r>
              <w:rPr>
                <w:rFonts w:ascii="Cambria Math" w:hAnsi="Cambria Math"/>
                <w:sz w:val="20"/>
              </w:rPr>
              <w:t>T(x)</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Metric-specific transformation</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Normal"/>
              <w:suppressAutoHyphens w:val="true"/>
              <w:spacing w:before="0" w:after="120"/>
              <w:jc w:val="center"/>
              <w:rPr/>
            </w:pPr>
            <w:r>
              <w:rPr>
                <w:rFonts w:ascii="Cambria Math" w:hAnsi="Cambria Math"/>
                <w:sz w:val="20"/>
              </w:rPr>
              <w:t>L, U</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Lower and upper benchmark anchors</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Normal"/>
              <w:suppressAutoHyphens w:val="true"/>
              <w:spacing w:before="0" w:after="120"/>
              <w:jc w:val="center"/>
              <w:rPr/>
            </w:pPr>
            <w:r>
              <w:rPr>
                <w:rFonts w:ascii="Cambria Math" w:hAnsi="Cambria Math"/>
                <w:sz w:val="20"/>
              </w:rPr>
              <w:t>s_jk</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Normalised sub-index score from 0 to 100</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Normal"/>
              <w:suppressAutoHyphens w:val="true"/>
              <w:spacing w:before="0" w:after="120"/>
              <w:jc w:val="center"/>
              <w:rPr/>
            </w:pPr>
            <w:r>
              <w:rPr>
                <w:rFonts w:ascii="Cambria Math" w:hAnsi="Cambria Math"/>
                <w:sz w:val="20"/>
              </w:rPr>
              <w:t>w_jk</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 xml:space="preserve">Weight of sub-index </w:t>
            </w:r>
            <w:r>
              <w:rPr/>
            </w:r>
            <m:oMath xmlns:m="http://schemas.openxmlformats.org/officeDocument/2006/math">
              <m:r>
                <m:t xml:space="preserve">k</m:t>
              </m:r>
            </m:oMath>
            <w:r>
              <w:rPr>
                <w:rFonts w:cs=""/>
                <w:color w:val="232B31"/>
                <w:kern w:val="0"/>
                <w:sz w:val="16"/>
                <w:szCs w:val="22"/>
                <w:lang w:val="en-GB" w:eastAsia="en-US" w:bidi="ar-SA"/>
              </w:rPr>
              <w:t xml:space="preserve"> in parent index </w:t>
            </w:r>
            <w:r>
              <w:rPr/>
            </w:r>
            <m:oMath xmlns:m="http://schemas.openxmlformats.org/officeDocument/2006/math">
              <m:r>
                <m:t xml:space="preserve">j</m:t>
              </m:r>
            </m:oMath>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Normal"/>
              <w:suppressAutoHyphens w:val="true"/>
              <w:spacing w:before="0" w:after="120"/>
              <w:jc w:val="center"/>
              <w:rPr/>
            </w:pPr>
            <w:r>
              <w:rPr>
                <w:rFonts w:ascii="Cambria Math" w:hAnsi="Cambria Math"/>
                <w:sz w:val="20"/>
              </w:rPr>
              <w:t>VTS_core</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Raw equal-weight composite from 0 to 1</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Normal"/>
              <w:suppressAutoHyphens w:val="true"/>
              <w:spacing w:before="0" w:after="120"/>
              <w:jc w:val="center"/>
              <w:rPr/>
            </w:pPr>
            <w:r>
              <w:rPr>
                <w:rFonts w:ascii="Cambria Math" w:hAnsi="Cambria Math"/>
                <w:sz w:val="20"/>
              </w:rPr>
              <w:t>ERU_core</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Dynamic reference benchmark in raw-score units</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Normal"/>
              <w:suppressAutoHyphens w:val="true"/>
              <w:spacing w:before="0" w:after="120"/>
              <w:jc w:val="center"/>
              <w:rPr/>
            </w:pPr>
            <w:r>
              <w:rPr>
                <w:rFonts w:ascii="Cambria Math" w:hAnsi="Cambria Math"/>
                <w:sz w:val="20"/>
              </w:rPr>
              <w:t>VTS</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Standardised Value Transfer Score</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Normal"/>
              <w:suppressAutoHyphens w:val="true"/>
              <w:spacing w:before="0" w:after="120"/>
              <w:jc w:val="center"/>
              <w:rPr/>
            </w:pPr>
            <w:r>
              <w:rPr>
                <w:rFonts w:ascii="Cambria Math" w:hAnsi="Cambria Math"/>
                <w:sz w:val="20"/>
              </w:rPr>
              <w:t>VRI</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Standardised Value Recognition Index</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Normal"/>
              <w:suppressAutoHyphens w:val="true"/>
              <w:spacing w:before="0" w:after="120"/>
              <w:jc w:val="center"/>
              <w:rPr/>
            </w:pPr>
            <w:r>
              <w:rPr>
                <w:rFonts w:ascii="Cambria Math" w:hAnsi="Cambria Math"/>
                <w:sz w:val="20"/>
              </w:rPr>
              <w:t>VRS</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VOX Risk Score from 0 to 100</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Normal"/>
              <w:suppressAutoHyphens w:val="true"/>
              <w:spacing w:before="0" w:after="120"/>
              <w:jc w:val="center"/>
              <w:rPr/>
            </w:pPr>
            <w:r>
              <w:rPr>
                <w:rFonts w:ascii="Cambria Math" w:hAnsi="Cambria Math"/>
                <w:sz w:val="20"/>
              </w:rPr>
              <w:t>VCS</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VOX Confidence Score from 0 to 100</w:t>
            </w:r>
            <w:bookmarkStart w:id="639" w:name="a.1-notation"/>
            <w:bookmarkEnd w:id="639"/>
          </w:p>
        </w:tc>
      </w:tr>
    </w:tbl>
    <w:p>
      <w:pPr>
        <w:pStyle w:val="Heading2"/>
        <w:keepNext w:val="true"/>
        <w:keepLines/>
        <w:widowControl/>
        <w:rPr/>
      </w:pPr>
      <w:bookmarkStart w:id="640" w:name="__RefHeading___Toc8809_528838595"/>
      <w:bookmarkEnd w:id="640"/>
      <w:r>
        <w:rPr/>
        <w:t>A.2 Clipping function</w:t>
      </w:r>
    </w:p>
    <w:p>
      <w:pPr>
        <w:pStyle w:val="Normal"/>
        <w:keepLines/>
        <w:spacing w:before="80" w:after="160"/>
        <w:jc w:val="center"/>
        <w:rPr/>
      </w:pPr>
      <w:r>
        <w:rPr/>
        <w:drawing>
          <wp:inline distT="0" distB="0" distL="0" distR="0">
            <wp:extent cx="3126740" cy="310515"/>
            <wp:effectExtent l="0" t="0" r="0" b="0"/>
            <wp:docPr id="47" name="Picture 47" descr="\mathrm{clip}(z,a,b)=\min\!\left(\max(z,a),b\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mathrm{clip}(z,a,b)=\min\!\left(\max(z,a),b\right)" title="Equation"/>
                    <pic:cNvPicPr>
                      <a:picLocks noChangeAspect="1" noChangeArrowheads="1"/>
                    </pic:cNvPicPr>
                  </pic:nvPicPr>
                  <pic:blipFill>
                    <a:blip r:embed="rId48"/>
                    <a:stretch>
                      <a:fillRect/>
                    </a:stretch>
                  </pic:blipFill>
                  <pic:spPr bwMode="auto">
                    <a:xfrm>
                      <a:off x="0" y="0"/>
                      <a:ext cx="3126740" cy="310515"/>
                    </a:xfrm>
                    <a:prstGeom prst="rect">
                      <a:avLst/>
                    </a:prstGeom>
                    <a:noFill/>
                  </pic:spPr>
                </pic:pic>
              </a:graphicData>
            </a:graphic>
          </wp:inline>
        </w:drawing>
      </w:r>
    </w:p>
    <w:p>
      <w:pPr>
        <w:pStyle w:val="Heading2"/>
        <w:keepNext w:val="true"/>
        <w:keepLines/>
        <w:widowControl/>
        <w:rPr/>
      </w:pPr>
      <w:bookmarkStart w:id="641" w:name="__RefHeading___Toc8811_528838595"/>
      <w:bookmarkEnd w:id="641"/>
      <w:r>
        <w:rPr/>
        <w:t>A.3 Positive-direction normalisation</w:t>
      </w:r>
    </w:p>
    <w:p>
      <w:pPr>
        <w:pStyle w:val="Normal"/>
        <w:keepLines/>
        <w:spacing w:before="80" w:after="160"/>
        <w:jc w:val="center"/>
        <w:rPr/>
      </w:pPr>
      <w:r>
        <w:rPr/>
        <w:drawing>
          <wp:inline distT="0" distB="0" distL="0" distR="0">
            <wp:extent cx="3427730" cy="454025"/>
            <wp:effectExtent l="0" t="0" r="0" b="0"/>
            <wp:docPr id="48" name="Picture 48" descr="\mathrm{Score}^{+}(x)=100\,\mathrm{clip}\!\left(\frac{T(x)-L}{U-L},\,0,\,1\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mathrm{Score}^{+}(x)=100\,\mathrm{clip}\!\left(\frac{T(x)-L}{U-L},\,0,\,1\right)" title="Equation"/>
                    <pic:cNvPicPr>
                      <a:picLocks noChangeAspect="1" noChangeArrowheads="1"/>
                    </pic:cNvPicPr>
                  </pic:nvPicPr>
                  <pic:blipFill>
                    <a:blip r:embed="rId49"/>
                    <a:stretch>
                      <a:fillRect/>
                    </a:stretch>
                  </pic:blipFill>
                  <pic:spPr bwMode="auto">
                    <a:xfrm>
                      <a:off x="0" y="0"/>
                      <a:ext cx="3427730" cy="454025"/>
                    </a:xfrm>
                    <a:prstGeom prst="rect">
                      <a:avLst/>
                    </a:prstGeom>
                    <a:noFill/>
                  </pic:spPr>
                </pic:pic>
              </a:graphicData>
            </a:graphic>
          </wp:inline>
        </w:drawing>
      </w:r>
    </w:p>
    <w:p>
      <w:pPr>
        <w:pStyle w:val="Heading2"/>
        <w:keepNext w:val="true"/>
        <w:keepLines/>
        <w:widowControl/>
        <w:rPr/>
      </w:pPr>
      <w:bookmarkStart w:id="642" w:name="__RefHeading___Toc8813_528838595"/>
      <w:bookmarkEnd w:id="642"/>
      <w:r>
        <w:rPr/>
        <w:t>A.4 Negative-direction normalisation</w:t>
      </w:r>
    </w:p>
    <w:p>
      <w:pPr>
        <w:pStyle w:val="Normal"/>
        <w:keepLines/>
        <w:spacing w:before="80" w:after="160"/>
        <w:jc w:val="center"/>
        <w:rPr/>
      </w:pPr>
      <w:r>
        <w:rPr/>
        <w:drawing>
          <wp:inline distT="0" distB="0" distL="0" distR="0">
            <wp:extent cx="3949700" cy="461010"/>
            <wp:effectExtent l="0" t="0" r="0" b="0"/>
            <wp:docPr id="49" name="Picture 49" descr="\mathrm{Score}^{-}(x)=100\left[1-\mathrm{clip}\!\left(\frac{T(x)-L}{U-L},\,0,\,1\right)\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mathrm{Score}^{-}(x)=100\left[1-\mathrm{clip}\!\left(\frac{T(x)-L}{U-L},\,0,\,1\right)\right]" title="Equation"/>
                    <pic:cNvPicPr>
                      <a:picLocks noChangeAspect="1" noChangeArrowheads="1"/>
                    </pic:cNvPicPr>
                  </pic:nvPicPr>
                  <pic:blipFill>
                    <a:blip r:embed="rId50"/>
                    <a:stretch>
                      <a:fillRect/>
                    </a:stretch>
                  </pic:blipFill>
                  <pic:spPr bwMode="auto">
                    <a:xfrm>
                      <a:off x="0" y="0"/>
                      <a:ext cx="3949700" cy="461010"/>
                    </a:xfrm>
                    <a:prstGeom prst="rect">
                      <a:avLst/>
                    </a:prstGeom>
                    <a:noFill/>
                  </pic:spPr>
                </pic:pic>
              </a:graphicData>
            </a:graphic>
          </wp:inline>
        </w:drawing>
      </w:r>
    </w:p>
    <w:p>
      <w:pPr>
        <w:pStyle w:val="Heading2"/>
        <w:keepNext w:val="true"/>
        <w:keepLines/>
        <w:widowControl/>
        <w:rPr/>
      </w:pPr>
      <w:bookmarkStart w:id="643" w:name="__RefHeading___Toc8815_528838595"/>
      <w:bookmarkEnd w:id="643"/>
      <w:r>
        <w:rPr/>
        <w:t>A.5 Log transformation</w:t>
      </w:r>
    </w:p>
    <w:p>
      <w:pPr>
        <w:pStyle w:val="Normal"/>
        <w:keepLines/>
        <w:spacing w:before="80" w:after="160"/>
        <w:jc w:val="center"/>
        <w:rPr/>
      </w:pPr>
      <w:r>
        <w:rPr/>
        <w:drawing>
          <wp:inline distT="0" distB="0" distL="0" distR="0">
            <wp:extent cx="1692910" cy="310515"/>
            <wp:effectExtent l="0" t="0" r="0" b="0"/>
            <wp:docPr id="50" name="Picture 50" descr="T(x)=\log(1+x)"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x)=\log(1+x)" title="Equation"/>
                    <pic:cNvPicPr>
                      <a:picLocks noChangeAspect="1" noChangeArrowheads="1"/>
                    </pic:cNvPicPr>
                  </pic:nvPicPr>
                  <pic:blipFill>
                    <a:blip r:embed="rId51"/>
                    <a:stretch>
                      <a:fillRect/>
                    </a:stretch>
                  </pic:blipFill>
                  <pic:spPr bwMode="auto">
                    <a:xfrm>
                      <a:off x="0" y="0"/>
                      <a:ext cx="1692910" cy="310515"/>
                    </a:xfrm>
                    <a:prstGeom prst="rect">
                      <a:avLst/>
                    </a:prstGeom>
                    <a:noFill/>
                  </pic:spPr>
                </pic:pic>
              </a:graphicData>
            </a:graphic>
          </wp:inline>
        </w:drawing>
      </w:r>
    </w:p>
    <w:p>
      <w:pPr>
        <w:pStyle w:val="Normal"/>
        <w:rPr/>
      </w:pPr>
      <w:bookmarkStart w:id="644" w:name="a.5-log-transformation"/>
      <w:r>
        <w:rPr/>
        <w:t>The logarithm base must be consistent within a metric version. Because benchmark anchors use the same transformation, the base does not change ordinal results but may affect numerical calibration.</w:t>
      </w:r>
      <w:bookmarkEnd w:id="644"/>
    </w:p>
    <w:p>
      <w:pPr>
        <w:pStyle w:val="Heading2"/>
        <w:keepNext w:val="true"/>
        <w:keepLines/>
        <w:widowControl/>
        <w:rPr/>
      </w:pPr>
      <w:bookmarkStart w:id="645" w:name="__RefHeading___Toc8817_528838595"/>
      <w:bookmarkEnd w:id="645"/>
      <w:r>
        <w:rPr/>
        <w:t>A.6 Exponentially weighted smoothing</w:t>
      </w:r>
    </w:p>
    <w:p>
      <w:pPr>
        <w:pStyle w:val="Normal"/>
        <w:keepLines/>
        <w:spacing w:before="80" w:after="160"/>
        <w:jc w:val="center"/>
        <w:rPr/>
      </w:pPr>
      <w:r>
        <w:rPr/>
        <w:drawing>
          <wp:inline distT="0" distB="0" distL="0" distR="0">
            <wp:extent cx="2208530" cy="290195"/>
            <wp:effectExtent l="0" t="0" r="0" b="0"/>
            <wp:docPr id="51" name="Picture 51" descr="S_t=\alpha X_t+(1-\alpha)S_{t-1}"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S_t=\alpha X_t+(1-\alpha)S_{t-1}" title="Equation"/>
                    <pic:cNvPicPr>
                      <a:picLocks noChangeAspect="1" noChangeArrowheads="1"/>
                    </pic:cNvPicPr>
                  </pic:nvPicPr>
                  <pic:blipFill>
                    <a:blip r:embed="rId52"/>
                    <a:stretch>
                      <a:fillRect/>
                    </a:stretch>
                  </pic:blipFill>
                  <pic:spPr bwMode="auto">
                    <a:xfrm>
                      <a:off x="0" y="0"/>
                      <a:ext cx="2208530" cy="290195"/>
                    </a:xfrm>
                    <a:prstGeom prst="rect">
                      <a:avLst/>
                    </a:prstGeom>
                    <a:noFill/>
                  </pic:spPr>
                </pic:pic>
              </a:graphicData>
            </a:graphic>
          </wp:inline>
        </w:drawing>
      </w:r>
    </w:p>
    <w:p>
      <w:pPr>
        <w:pStyle w:val="Normal"/>
        <w:keepLines/>
        <w:spacing w:before="80" w:after="160"/>
        <w:jc w:val="center"/>
        <w:rPr/>
      </w:pPr>
      <w:r>
        <w:rPr/>
        <w:drawing>
          <wp:inline distT="0" distB="0" distL="0" distR="0">
            <wp:extent cx="1508760" cy="835025"/>
            <wp:effectExtent l="0" t="0" r="0" b="0"/>
            <wp:docPr id="52" name="Picture 52" descr="\alpha=\frac{2}{n+1}"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lpha=\frac{2}{n+1}" title="Equation"/>
                    <pic:cNvPicPr>
                      <a:picLocks noChangeAspect="1" noChangeArrowheads="1"/>
                    </pic:cNvPicPr>
                  </pic:nvPicPr>
                  <pic:blipFill>
                    <a:blip r:embed="rId53"/>
                    <a:stretch>
                      <a:fillRect/>
                    </a:stretch>
                  </pic:blipFill>
                  <pic:spPr bwMode="auto">
                    <a:xfrm>
                      <a:off x="0" y="0"/>
                      <a:ext cx="1508760" cy="835025"/>
                    </a:xfrm>
                    <a:prstGeom prst="rect">
                      <a:avLst/>
                    </a:prstGeom>
                    <a:noFill/>
                  </pic:spPr>
                </pic:pic>
              </a:graphicData>
            </a:graphic>
          </wp:inline>
        </w:drawing>
      </w:r>
    </w:p>
    <w:p>
      <w:pPr>
        <w:pStyle w:val="Heading2"/>
        <w:keepNext w:val="true"/>
        <w:keepLines/>
        <w:widowControl/>
        <w:rPr/>
      </w:pPr>
      <w:bookmarkStart w:id="646" w:name="__RefHeading___Toc8819_528838595"/>
      <w:bookmarkEnd w:id="646"/>
      <w:r>
        <w:rPr/>
        <w:t>A.7 Parent-index aggregation</w:t>
      </w:r>
    </w:p>
    <w:p>
      <w:pPr>
        <w:pStyle w:val="Normal"/>
        <w:keepLines/>
        <w:spacing w:before="80" w:after="160"/>
        <w:jc w:val="center"/>
        <w:rPr/>
      </w:pPr>
      <w:r>
        <w:rPr/>
        <w:drawing>
          <wp:inline distT="0" distB="0" distL="0" distR="0">
            <wp:extent cx="3324860" cy="768350"/>
            <wp:effectExtent l="0" t="0" r="0" b="0"/>
            <wp:docPr id="53" name="Picture 53" descr="Index_j=\sum_{k=1}^{m_j}w_{jk}s_{jk},\qquad \sum_{k=1}^{m_j}w_{jk}=1"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Index_j=\sum_{k=1}^{m_j}w_{jk}s_{jk},\qquad \sum_{k=1}^{m_j}w_{jk}=1" title="Equation"/>
                    <pic:cNvPicPr>
                      <a:picLocks noChangeAspect="1" noChangeArrowheads="1"/>
                    </pic:cNvPicPr>
                  </pic:nvPicPr>
                  <pic:blipFill>
                    <a:blip r:embed="rId54"/>
                    <a:stretch>
                      <a:fillRect/>
                    </a:stretch>
                  </pic:blipFill>
                  <pic:spPr bwMode="auto">
                    <a:xfrm>
                      <a:off x="0" y="0"/>
                      <a:ext cx="3324860" cy="768350"/>
                    </a:xfrm>
                    <a:prstGeom prst="rect">
                      <a:avLst/>
                    </a:prstGeom>
                    <a:noFill/>
                  </pic:spPr>
                </pic:pic>
              </a:graphicData>
            </a:graphic>
          </wp:inline>
        </w:drawing>
      </w:r>
    </w:p>
    <w:p>
      <w:pPr>
        <w:pStyle w:val="Heading2"/>
        <w:keepNext w:val="true"/>
        <w:keepLines/>
        <w:widowControl/>
        <w:rPr/>
      </w:pPr>
      <w:bookmarkStart w:id="647" w:name="__RefHeading___Toc8821_528838595"/>
      <w:bookmarkEnd w:id="647"/>
      <w:r>
        <w:rPr/>
        <w:t>A.8 Core VTS</w:t>
      </w:r>
    </w:p>
    <w:p>
      <w:pPr>
        <w:pStyle w:val="Normal"/>
        <w:keepLines/>
        <w:spacing w:before="80" w:after="160"/>
        <w:jc w:val="center"/>
        <w:rPr/>
      </w:pPr>
      <w:r>
        <w:rPr/>
        <w:drawing>
          <wp:inline distT="0" distB="0" distL="0" distR="0">
            <wp:extent cx="3789045" cy="429895"/>
            <wp:effectExtent l="0" t="0" r="0" b="0"/>
            <wp:docPr id="54" name="Picture 54" descr="VTS_{\mathrm{core}}=\frac{PoV+OPI+DLI+PII+RWAI+ERI}{6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VTS_{\mathrm{core}}=\frac{PoV+OPI+DLI+PII+RWAI+ERI}{600}" title="Equation"/>
                    <pic:cNvPicPr>
                      <a:picLocks noChangeAspect="1" noChangeArrowheads="1"/>
                    </pic:cNvPicPr>
                  </pic:nvPicPr>
                  <pic:blipFill>
                    <a:blip r:embed="rId55"/>
                    <a:stretch>
                      <a:fillRect/>
                    </a:stretch>
                  </pic:blipFill>
                  <pic:spPr bwMode="auto">
                    <a:xfrm>
                      <a:off x="0" y="0"/>
                      <a:ext cx="3789045" cy="429895"/>
                    </a:xfrm>
                    <a:prstGeom prst="rect">
                      <a:avLst/>
                    </a:prstGeom>
                    <a:noFill/>
                  </pic:spPr>
                </pic:pic>
              </a:graphicData>
            </a:graphic>
          </wp:inline>
        </w:drawing>
      </w:r>
    </w:p>
    <w:p>
      <w:pPr>
        <w:pStyle w:val="Heading2"/>
        <w:keepNext w:val="true"/>
        <w:keepLines/>
        <w:widowControl/>
        <w:rPr/>
      </w:pPr>
      <w:bookmarkStart w:id="648" w:name="__RefHeading___Toc8823_528838595"/>
      <w:bookmarkEnd w:id="648"/>
      <w:r>
        <w:rPr/>
        <w:t>A.9 Economic Reference Unit</w:t>
      </w:r>
    </w:p>
    <w:p>
      <w:pPr>
        <w:pStyle w:val="Normal"/>
        <w:keepLines/>
        <w:spacing w:before="80" w:after="160"/>
        <w:jc w:val="center"/>
        <w:rPr/>
      </w:pPr>
      <w:r>
        <w:rPr/>
        <w:drawing>
          <wp:inline distT="0" distB="0" distL="0" distR="0">
            <wp:extent cx="4530090" cy="692785"/>
            <wp:effectExtent l="0" t="0" r="0" b="0"/>
            <wp:docPr id="55" name="Picture 55" descr="ERU_{\mathrm{core}}(t)=\mathrm{TWMA}_{90}\!\left(\underset{i\in\mathcal{Q}_t}{\mathrm{median}}\;VTS_{\mathrm{core},i}(t)\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ERU_{\mathrm{core}}(t)=\mathrm{TWMA}_{90}\!\left(\underset{i\in\mathcal{Q}_t}{\mathrm{median}}\;VTS_{\mathrm{core},i}(t)\right)" title="Equation"/>
                    <pic:cNvPicPr>
                      <a:picLocks noChangeAspect="1" noChangeArrowheads="1"/>
                    </pic:cNvPicPr>
                  </pic:nvPicPr>
                  <pic:blipFill>
                    <a:blip r:embed="rId56"/>
                    <a:stretch>
                      <a:fillRect/>
                    </a:stretch>
                  </pic:blipFill>
                  <pic:spPr bwMode="auto">
                    <a:xfrm>
                      <a:off x="0" y="0"/>
                      <a:ext cx="4530090" cy="692785"/>
                    </a:xfrm>
                    <a:prstGeom prst="rect">
                      <a:avLst/>
                    </a:prstGeom>
                    <a:noFill/>
                  </pic:spPr>
                </pic:pic>
              </a:graphicData>
            </a:graphic>
          </wp:inline>
        </w:drawing>
      </w:r>
    </w:p>
    <w:p>
      <w:pPr>
        <w:pStyle w:val="Normal"/>
        <w:keepLines/>
        <w:spacing w:before="80" w:after="160"/>
        <w:jc w:val="center"/>
        <w:rPr/>
      </w:pPr>
      <w:r>
        <w:rPr/>
        <w:drawing>
          <wp:inline distT="0" distB="0" distL="0" distR="0">
            <wp:extent cx="1795780" cy="508635"/>
            <wp:effectExtent l="0" t="0" r="0" b="0"/>
            <wp:docPr id="56" name="Picture 56" descr="VTS_i(t)=\frac{VTS_{\mathrm{core},i}(t)}{ERU_{\mathrm{core}}(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VTS_i(t)=\frac{VTS_{\mathrm{core},i}(t)}{ERU_{\mathrm{core}}(t)}" title="Equation"/>
                    <pic:cNvPicPr>
                      <a:picLocks noChangeAspect="1" noChangeArrowheads="1"/>
                    </pic:cNvPicPr>
                  </pic:nvPicPr>
                  <pic:blipFill>
                    <a:blip r:embed="rId57"/>
                    <a:stretch>
                      <a:fillRect/>
                    </a:stretch>
                  </pic:blipFill>
                  <pic:spPr bwMode="auto">
                    <a:xfrm>
                      <a:off x="0" y="0"/>
                      <a:ext cx="1795780" cy="508635"/>
                    </a:xfrm>
                    <a:prstGeom prst="rect">
                      <a:avLst/>
                    </a:prstGeom>
                    <a:noFill/>
                  </pic:spPr>
                </pic:pic>
              </a:graphicData>
            </a:graphic>
          </wp:inline>
        </w:drawing>
      </w:r>
    </w:p>
    <w:p>
      <w:pPr>
        <w:pStyle w:val="Heading2"/>
        <w:keepNext w:val="true"/>
        <w:keepLines/>
        <w:widowControl/>
        <w:rPr/>
      </w:pPr>
      <w:bookmarkStart w:id="649" w:name="__RefHeading___Toc8825_528838595"/>
      <w:bookmarkEnd w:id="649"/>
      <w:r>
        <w:rPr/>
        <w:t>A.10 Opportunity Gap</w:t>
      </w:r>
    </w:p>
    <w:p>
      <w:pPr>
        <w:pStyle w:val="Normal"/>
        <w:keepLines/>
        <w:spacing w:before="80" w:after="160"/>
        <w:jc w:val="center"/>
        <w:rPr/>
      </w:pPr>
      <w:r>
        <w:rPr/>
        <w:drawing>
          <wp:inline distT="0" distB="0" distL="0" distR="0">
            <wp:extent cx="3308350" cy="303530"/>
            <wp:effectExtent l="0" t="0" r="0" b="0"/>
            <wp:docPr id="57" name="Picture 57" descr="\mathrm{Opportunity\ Gap}_i=VTS_i-VRI_i"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mathrm{Opportunity\ Gap}_i=VTS_i-VRI_i" title="Equation"/>
                    <pic:cNvPicPr>
                      <a:picLocks noChangeAspect="1" noChangeArrowheads="1"/>
                    </pic:cNvPicPr>
                  </pic:nvPicPr>
                  <pic:blipFill>
                    <a:blip r:embed="rId58"/>
                    <a:stretch>
                      <a:fillRect/>
                    </a:stretch>
                  </pic:blipFill>
                  <pic:spPr bwMode="auto">
                    <a:xfrm>
                      <a:off x="0" y="0"/>
                      <a:ext cx="3308350" cy="303530"/>
                    </a:xfrm>
                    <a:prstGeom prst="rect">
                      <a:avLst/>
                    </a:prstGeom>
                    <a:noFill/>
                  </pic:spPr>
                </pic:pic>
              </a:graphicData>
            </a:graphic>
          </wp:inline>
        </w:drawing>
      </w:r>
    </w:p>
    <w:p>
      <w:pPr>
        <w:pStyle w:val="Heading2"/>
        <w:keepNext w:val="true"/>
        <w:keepLines/>
        <w:widowControl/>
        <w:rPr/>
      </w:pPr>
      <w:bookmarkStart w:id="650" w:name="__RefHeading___Toc8827_528838595"/>
      <w:bookmarkEnd w:id="650"/>
      <w:r>
        <w:rPr/>
        <w:t>A.11 V-FOREX reference ratio</w:t>
      </w:r>
    </w:p>
    <w:p>
      <w:pPr>
        <w:pStyle w:val="Normal"/>
        <w:keepLines/>
        <w:spacing w:before="80" w:after="160"/>
        <w:jc w:val="center"/>
        <w:rPr/>
      </w:pPr>
      <w:r>
        <w:rPr/>
        <w:drawing>
          <wp:inline distT="0" distB="0" distL="0" distR="0">
            <wp:extent cx="1508760" cy="513080"/>
            <wp:effectExtent l="0" t="0" r="0" b="0"/>
            <wp:docPr id="58" name="Picture 58" descr="R_{\mathrm{ref}}\!\left(\frac{A}{B}\right)=\frac{VTS_A}{VTS_B}"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R_{\mathrm{ref}}\!\left(\frac{A}{B}\right)=\frac{VTS_A}{VTS_B}" title="Equation"/>
                    <pic:cNvPicPr>
                      <a:picLocks noChangeAspect="1" noChangeArrowheads="1"/>
                    </pic:cNvPicPr>
                  </pic:nvPicPr>
                  <pic:blipFill>
                    <a:blip r:embed="rId59"/>
                    <a:stretch>
                      <a:fillRect/>
                    </a:stretch>
                  </pic:blipFill>
                  <pic:spPr bwMode="auto">
                    <a:xfrm>
                      <a:off x="0" y="0"/>
                      <a:ext cx="1508760" cy="513080"/>
                    </a:xfrm>
                    <a:prstGeom prst="rect">
                      <a:avLst/>
                    </a:prstGeom>
                    <a:noFill/>
                  </pic:spPr>
                </pic:pic>
              </a:graphicData>
            </a:graphic>
          </wp:inline>
        </w:drawing>
      </w:r>
    </w:p>
    <w:p>
      <w:pPr>
        <w:pStyle w:val="Normal"/>
        <w:keepLines/>
        <w:spacing w:before="80" w:after="160"/>
        <w:jc w:val="center"/>
        <w:rPr/>
      </w:pPr>
      <w:r>
        <w:rPr/>
        <w:drawing>
          <wp:inline distT="0" distB="0" distL="0" distR="0">
            <wp:extent cx="3785870" cy="498475"/>
            <wp:effectExtent l="0" t="0" r="0" b="0"/>
            <wp:docPr id="59" name="Picture 59" descr="\mathrm{Premium/Discount}_{A/B}=\frac{R_{\mathrm{market}}(A/B)}{R_{\mathrm{ref}}(A/B)}-1"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mathrm{Premium/Discount}_{A/B}=\frac{R_{\mathrm{market}}(A/B)}{R_{\mathrm{ref}}(A/B)}-1" title="Equation"/>
                    <pic:cNvPicPr>
                      <a:picLocks noChangeAspect="1" noChangeArrowheads="1"/>
                    </pic:cNvPicPr>
                  </pic:nvPicPr>
                  <pic:blipFill>
                    <a:blip r:embed="rId60"/>
                    <a:stretch>
                      <a:fillRect/>
                    </a:stretch>
                  </pic:blipFill>
                  <pic:spPr bwMode="auto">
                    <a:xfrm>
                      <a:off x="0" y="0"/>
                      <a:ext cx="3785870" cy="498475"/>
                    </a:xfrm>
                    <a:prstGeom prst="rect">
                      <a:avLst/>
                    </a:prstGeom>
                    <a:noFill/>
                  </pic:spPr>
                </pic:pic>
              </a:graphicData>
            </a:graphic>
          </wp:inline>
        </w:drawing>
      </w:r>
    </w:p>
    <w:p>
      <w:pPr>
        <w:pStyle w:val="Heading2"/>
        <w:keepNext w:val="true"/>
        <w:keepLines/>
        <w:widowControl/>
        <w:rPr/>
      </w:pPr>
      <w:bookmarkStart w:id="651" w:name="__RefHeading___Toc8829_528838595"/>
      <w:bookmarkEnd w:id="651"/>
      <w:r>
        <w:rPr/>
        <w:t>A.12 Optional indexed supply</w:t>
      </w:r>
    </w:p>
    <w:p>
      <w:pPr>
        <w:pStyle w:val="Normal"/>
        <w:keepLines/>
        <w:spacing w:before="80" w:after="160"/>
        <w:jc w:val="center"/>
        <w:rPr/>
      </w:pPr>
      <w:r>
        <w:rPr/>
        <w:drawing>
          <wp:inline distT="0" distB="0" distL="0" distR="0">
            <wp:extent cx="3594735" cy="327660"/>
            <wp:effectExtent l="0" t="0" r="0" b="0"/>
            <wp:docPr id="60" name="Picture 60" descr="S_{\mathrm{target},t}=C_{\mathrm{ref}}\,\mathrm{clip}\!\left(VTS_t^{\kappa},\,g_{\min},\,g_{\max}\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S_{\mathrm{target},t}=C_{\mathrm{ref}}\,\mathrm{clip}\!\left(VTS_t^{\kappa},\,g_{\min},\,g_{\max}\right)" title="Equation"/>
                    <pic:cNvPicPr>
                      <a:picLocks noChangeAspect="1" noChangeArrowheads="1"/>
                    </pic:cNvPicPr>
                  </pic:nvPicPr>
                  <pic:blipFill>
                    <a:blip r:embed="rId61"/>
                    <a:stretch>
                      <a:fillRect/>
                    </a:stretch>
                  </pic:blipFill>
                  <pic:spPr bwMode="auto">
                    <a:xfrm>
                      <a:off x="0" y="0"/>
                      <a:ext cx="3594735" cy="327660"/>
                    </a:xfrm>
                    <a:prstGeom prst="rect">
                      <a:avLst/>
                    </a:prstGeom>
                    <a:noFill/>
                  </pic:spPr>
                </pic:pic>
              </a:graphicData>
            </a:graphic>
          </wp:inline>
        </w:drawing>
      </w:r>
    </w:p>
    <w:p>
      <w:pPr>
        <w:pStyle w:val="Normal"/>
        <w:keepLines/>
        <w:spacing w:before="80" w:after="160"/>
        <w:jc w:val="center"/>
        <w:rPr/>
      </w:pPr>
      <w:r>
        <w:rPr/>
        <w:drawing>
          <wp:inline distT="0" distB="0" distL="0" distR="0">
            <wp:extent cx="3625850" cy="522605"/>
            <wp:effectExtent l="0" t="0" r="0" b="0"/>
            <wp:docPr id="61" name="Picture 61" descr="r_t=\mathrm{clip}\!\left(\frac{S_{\mathrm{target},t}}{S_{\mathrm{current},t}}-1,\,-r_{\max},\,+r_{\max}\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r_t=\mathrm{clip}\!\left(\frac{S_{\mathrm{target},t}}{S_{\mathrm{current},t}}-1,\,-r_{\max},\,+r_{\max}\right)" title="Equation"/>
                    <pic:cNvPicPr>
                      <a:picLocks noChangeAspect="1" noChangeArrowheads="1"/>
                    </pic:cNvPicPr>
                  </pic:nvPicPr>
                  <pic:blipFill>
                    <a:blip r:embed="rId62"/>
                    <a:stretch>
                      <a:fillRect/>
                    </a:stretch>
                  </pic:blipFill>
                  <pic:spPr bwMode="auto">
                    <a:xfrm>
                      <a:off x="0" y="0"/>
                      <a:ext cx="3625850" cy="522605"/>
                    </a:xfrm>
                    <a:prstGeom prst="rect">
                      <a:avLst/>
                    </a:prstGeom>
                    <a:noFill/>
                  </pic:spPr>
                </pic:pic>
              </a:graphicData>
            </a:graphic>
          </wp:inline>
        </w:drawing>
      </w:r>
    </w:p>
    <w:p>
      <w:pPr>
        <w:pStyle w:val="Normal"/>
        <w:keepLines/>
        <w:spacing w:before="80" w:after="160"/>
        <w:jc w:val="center"/>
        <w:rPr/>
      </w:pPr>
      <w:r>
        <w:rPr/>
        <w:drawing>
          <wp:inline distT="0" distB="0" distL="0" distR="0">
            <wp:extent cx="2334895" cy="303530"/>
            <wp:effectExtent l="0" t="0" r="0" b="0"/>
            <wp:docPr id="62" name="Picture 62" descr="S_{\mathrm{next},t}=S_{\mathrm{current},t}(1+r_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S_{\mathrm{next},t}=S_{\mathrm{current},t}(1+r_t)" title="Equation"/>
                    <pic:cNvPicPr>
                      <a:picLocks noChangeAspect="1" noChangeArrowheads="1"/>
                    </pic:cNvPicPr>
                  </pic:nvPicPr>
                  <pic:blipFill>
                    <a:blip r:embed="rId63"/>
                    <a:stretch>
                      <a:fillRect/>
                    </a:stretch>
                  </pic:blipFill>
                  <pic:spPr bwMode="auto">
                    <a:xfrm>
                      <a:off x="0" y="0"/>
                      <a:ext cx="2334895" cy="303530"/>
                    </a:xfrm>
                    <a:prstGeom prst="rect">
                      <a:avLst/>
                    </a:prstGeom>
                    <a:noFill/>
                  </pic:spPr>
                </pic:pic>
              </a:graphicData>
            </a:graphic>
          </wp:inline>
        </w:drawing>
      </w:r>
    </w:p>
    <w:p>
      <w:pPr>
        <w:pStyle w:val="Normal"/>
        <w:keepLines/>
        <w:spacing w:before="80" w:after="160"/>
        <w:jc w:val="center"/>
        <w:rPr/>
      </w:pPr>
      <w:r>
        <w:rPr/>
        <w:drawing>
          <wp:inline distT="0" distB="0" distL="0" distR="0">
            <wp:extent cx="1706880" cy="307340"/>
            <wp:effectExtent l="0" t="0" r="0" b="0"/>
            <wp:docPr id="63" name="Picture 63" descr="\mathrm{Balance}_{h,t}=q_h I_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mathrm{Balance}_{h,t}=q_h I_t" title="Equation"/>
                    <pic:cNvPicPr>
                      <a:picLocks noChangeAspect="1" noChangeArrowheads="1"/>
                    </pic:cNvPicPr>
                  </pic:nvPicPr>
                  <pic:blipFill>
                    <a:blip r:embed="rId64"/>
                    <a:stretch>
                      <a:fillRect/>
                    </a:stretch>
                  </pic:blipFill>
                  <pic:spPr bwMode="auto">
                    <a:xfrm>
                      <a:off x="0" y="0"/>
                      <a:ext cx="1706880" cy="307340"/>
                    </a:xfrm>
                    <a:prstGeom prst="rect">
                      <a:avLst/>
                    </a:prstGeom>
                    <a:noFill/>
                  </pic:spPr>
                </pic:pic>
              </a:graphicData>
            </a:graphic>
          </wp:inline>
        </w:drawing>
      </w:r>
    </w:p>
    <w:p>
      <w:pPr>
        <w:pStyle w:val="Heading2"/>
        <w:keepNext w:val="true"/>
        <w:keepLines/>
        <w:widowControl/>
        <w:rPr/>
      </w:pPr>
      <w:bookmarkStart w:id="652" w:name="__RefHeading___Toc8831_528838595"/>
      <w:bookmarkEnd w:id="652"/>
      <w:r>
        <w:rPr/>
        <w:t>A.13 Rounding</w:t>
      </w:r>
    </w:p>
    <w:p>
      <w:pPr>
        <w:pStyle w:val="Compact"/>
        <w:widowControl/>
        <w:numPr>
          <w:ilvl w:val="0"/>
          <w:numId w:val="1484"/>
        </w:numPr>
        <w:rPr/>
      </w:pPr>
      <w:r>
        <w:rPr/>
        <w:t>Raw financial observations use their canonical integer or high-precision decimal representation.</w:t>
      </w:r>
    </w:p>
    <w:p>
      <w:pPr>
        <w:pStyle w:val="Compact"/>
        <w:widowControl/>
        <w:numPr>
          <w:ilvl w:val="0"/>
          <w:numId w:val="1485"/>
        </w:numPr>
        <w:rPr/>
      </w:pPr>
      <w:r>
        <w:rPr/>
        <w:t>Normalised sub-indices are stored with at least eight decimal places.</w:t>
      </w:r>
    </w:p>
    <w:p>
      <w:pPr>
        <w:pStyle w:val="Compact"/>
        <w:widowControl/>
        <w:numPr>
          <w:ilvl w:val="0"/>
          <w:numId w:val="1486"/>
        </w:numPr>
        <w:rPr/>
      </w:pPr>
      <w:r>
        <w:rPr/>
        <w:t>Parent indices are stored with at least six decimal places and displayed to two by default.</w:t>
      </w:r>
    </w:p>
    <w:p>
      <w:pPr>
        <w:pStyle w:val="Compact"/>
        <w:widowControl/>
        <w:numPr>
          <w:ilvl w:val="0"/>
          <w:numId w:val="1487"/>
        </w:numPr>
        <w:rPr/>
      </w:pPr>
      <w:r>
        <w:rPr/>
        <w:t>VTS, VRI and V-FOREX rates are stored with at least twelve decimal places and displayed to six by default.</w:t>
      </w:r>
    </w:p>
    <w:p>
      <w:pPr>
        <w:pStyle w:val="Compact"/>
        <w:widowControl/>
        <w:numPr>
          <w:ilvl w:val="0"/>
          <w:numId w:val="1488"/>
        </w:numPr>
        <w:rPr/>
      </w:pPr>
      <w:bookmarkStart w:id="653" w:name="appendix-a-mathematical-specification"/>
      <w:bookmarkStart w:id="654" w:name="a.13-rounding"/>
      <w:r>
        <w:rPr/>
        <w:t>Rounding occurs only at display boundaries, not during intermediate aggregation.</w:t>
      </w:r>
      <w:bookmarkEnd w:id="653"/>
      <w:bookmarkEnd w:id="654"/>
    </w:p>
    <w:p>
      <w:pPr>
        <w:pStyle w:val="Heading1"/>
        <w:keepNext w:val="true"/>
        <w:keepLines/>
        <w:widowControl/>
        <w:pBdr>
          <w:bottom w:val="single" w:sz="6" w:space="5" w:color="8AB2BF"/>
        </w:pBdr>
        <w:jc w:val="start"/>
        <w:rPr/>
      </w:pPr>
      <w:bookmarkStart w:id="655" w:name="__RefHeading___Toc8833_528838595"/>
      <w:bookmarkEnd w:id="655"/>
      <w:r>
        <w:rPr/>
        <w:t>Appendix B — Canonical Metric Registry</w:t>
      </w:r>
    </w:p>
    <w:p>
      <w:pPr>
        <w:pStyle w:val="Normal"/>
        <w:rPr/>
      </w:pPr>
      <w:r>
        <w:rPr/>
        <w:t>The following registry defines the parent composition at Edition 3.1 launch. Detailed observation-level definitions are maintained as machine-readable governance artefacts.</w:t>
      </w:r>
    </w:p>
    <w:p>
      <w:pPr>
        <w:pStyle w:val="Heading2"/>
        <w:keepNext w:val="true"/>
        <w:keepLines/>
        <w:widowControl/>
        <w:rPr/>
      </w:pPr>
      <w:bookmarkStart w:id="656" w:name="__RefHeading___Toc8835_528838595"/>
      <w:bookmarkEnd w:id="656"/>
      <w:r>
        <w:rPr/>
        <w:t>B.1 PoV registry</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1807"/>
        <w:gridCol w:w="1807"/>
        <w:gridCol w:w="2407"/>
        <w:gridCol w:w="1807"/>
        <w:gridCol w:w="1810"/>
      </w:tblGrid>
      <w:tr>
        <w:trPr>
          <w:tblHeader w:val="true"/>
          <w:cantSplit w:val="true"/>
        </w:trPr>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24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Direction</w:t>
            </w:r>
          </w:p>
        </w:tc>
        <w:tc>
          <w:tcPr>
            <w:tcW w:w="181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POV.ES</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Economic settlement</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with quality filters</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POV.FR</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Fees and protocol revenue</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Bounded/positive</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POV.AU</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Active economic usage</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with concentration adjustment</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POV.VC</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Value capture and sustainability</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POV.PQ</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Persistence and activity quality</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90/365 days</w:t>
            </w:r>
            <w:bookmarkStart w:id="657" w:name="b.1-pov-registry"/>
            <w:bookmarkEnd w:id="657"/>
          </w:p>
        </w:tc>
      </w:tr>
    </w:tbl>
    <w:p>
      <w:pPr>
        <w:pStyle w:val="Heading2"/>
        <w:keepNext w:val="true"/>
        <w:keepLines/>
        <w:widowControl/>
        <w:rPr/>
      </w:pPr>
      <w:bookmarkStart w:id="658" w:name="__RefHeading___Toc8837_528838595"/>
      <w:bookmarkEnd w:id="658"/>
      <w:r>
        <w:rPr/>
        <w:t>B.2 OPI registry</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1807"/>
        <w:gridCol w:w="1807"/>
        <w:gridCol w:w="2407"/>
        <w:gridCol w:w="1807"/>
        <w:gridCol w:w="1810"/>
      </w:tblGrid>
      <w:tr>
        <w:trPr>
          <w:tblHeader w:val="true"/>
          <w:cantSplit w:val="true"/>
        </w:trPr>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24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Direction</w:t>
            </w:r>
          </w:p>
        </w:tc>
        <w:tc>
          <w:tcPr>
            <w:tcW w:w="181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OPI.AP</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Active participant breadth</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Positive/inverse concentration</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OPI.SP</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Security participation</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Positive/inverse concentration</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OPI.GP</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Governance participation</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with quality filters</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180/365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OPI.DP</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Developer participation</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with retention</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OPI.DR</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Distribution and retention</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Inverse concentration/positive retention</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90/365 days</w:t>
            </w:r>
          </w:p>
        </w:tc>
      </w:tr>
    </w:tbl>
    <w:p>
      <w:pPr>
        <w:pStyle w:val="Heading2"/>
        <w:keepNext w:val="true"/>
        <w:keepLines/>
        <w:widowControl/>
        <w:rPr/>
      </w:pPr>
      <w:bookmarkStart w:id="659" w:name="__RefHeading___Toc8839_528838595"/>
      <w:bookmarkEnd w:id="659"/>
      <w:r>
        <w:rPr/>
        <w:t>B.3 DLI registry</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1807"/>
        <w:gridCol w:w="1807"/>
        <w:gridCol w:w="2407"/>
        <w:gridCol w:w="1807"/>
        <w:gridCol w:w="1810"/>
      </w:tblGrid>
      <w:tr>
        <w:trPr>
          <w:tblHeader w:val="true"/>
          <w:cantSplit w:val="true"/>
        </w:trPr>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24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Direction</w:t>
            </w:r>
          </w:p>
        </w:tc>
        <w:tc>
          <w:tcPr>
            <w:tcW w:w="181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DLI.ED</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Executable depth</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DLI.SE</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Slippage efficiency</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Negative slippage</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DLI.VQ</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Volume quality</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with wash filters</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DLI.VD</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Venue and asset diversity</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Positive/inverse concentration</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DLI.CR</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Concentration and stress resilience</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Inverse concentration/positive retention</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Event/365 days</w:t>
            </w:r>
          </w:p>
        </w:tc>
      </w:tr>
    </w:tbl>
    <w:p>
      <w:pPr>
        <w:pStyle w:val="Heading2"/>
        <w:keepNext w:val="true"/>
        <w:keepLines/>
        <w:widowControl/>
        <w:rPr/>
      </w:pPr>
      <w:bookmarkStart w:id="660" w:name="__RefHeading___Toc8841_528838595"/>
      <w:bookmarkEnd w:id="660"/>
      <w:r>
        <w:rPr/>
        <w:t>B.4 PII registry</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1807"/>
        <w:gridCol w:w="1807"/>
        <w:gridCol w:w="2407"/>
        <w:gridCol w:w="1807"/>
        <w:gridCol w:w="1810"/>
      </w:tblGrid>
      <w:tr>
        <w:trPr>
          <w:tblHeader w:val="true"/>
          <w:cantSplit w:val="true"/>
        </w:trPr>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24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Direction</w:t>
            </w:r>
          </w:p>
        </w:tc>
        <w:tc>
          <w:tcPr>
            <w:tcW w:w="181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PII.ST</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Security track record</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Inverse incident severity</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365 days/lifetime</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PII.CD</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Consensus and control decentralisation</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Inverse concentration</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PII.ID</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Infrastructure diversity</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Positive/inverse concentration</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PII.AF</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Availability and finality</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Positive/inverse disruption</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30/365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PII.GI</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Governance and upgrade integrity</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Current/365 days</w:t>
            </w:r>
          </w:p>
        </w:tc>
      </w:tr>
    </w:tbl>
    <w:p>
      <w:pPr>
        <w:pStyle w:val="Heading2"/>
        <w:keepNext w:val="true"/>
        <w:keepLines/>
        <w:widowControl/>
        <w:rPr/>
      </w:pPr>
      <w:bookmarkStart w:id="661" w:name="__RefHeading___Toc8843_528838595"/>
      <w:bookmarkEnd w:id="661"/>
      <w:r>
        <w:rPr/>
        <w:t>B.5 RWAI registry</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1807"/>
        <w:gridCol w:w="1807"/>
        <w:gridCol w:w="2407"/>
        <w:gridCol w:w="1807"/>
        <w:gridCol w:w="1810"/>
      </w:tblGrid>
      <w:tr>
        <w:trPr>
          <w:tblHeader w:val="true"/>
          <w:cantSplit w:val="true"/>
        </w:trPr>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24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Direction</w:t>
            </w:r>
          </w:p>
        </w:tc>
        <w:tc>
          <w:tcPr>
            <w:tcW w:w="181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RWAI.RS</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Real-world settlement value</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with verification</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RWAI.SP</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Stablecoin and payment use</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with quality filters</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RWAI.TA</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Tokenised asset value and quality</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with quality</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RWAI.AD</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Adoption diversity and persistence</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Positive/inverse concentration</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180/365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RWAI.EI</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External-verification integrity</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Current/365 days</w:t>
            </w:r>
          </w:p>
        </w:tc>
      </w:tr>
    </w:tbl>
    <w:p>
      <w:pPr>
        <w:pStyle w:val="Heading2"/>
        <w:keepNext w:val="true"/>
        <w:keepLines/>
        <w:widowControl/>
        <w:rPr/>
      </w:pPr>
      <w:bookmarkStart w:id="662" w:name="__RefHeading___Toc8845_528838595"/>
      <w:bookmarkEnd w:id="662"/>
      <w:r>
        <w:rPr/>
        <w:t>B.6 ERI registry</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1807"/>
        <w:gridCol w:w="1807"/>
        <w:gridCol w:w="2407"/>
        <w:gridCol w:w="1807"/>
        <w:gridCol w:w="1810"/>
      </w:tblGrid>
      <w:tr>
        <w:trPr>
          <w:tblHeader w:val="true"/>
          <w:cantSplit w:val="true"/>
        </w:trPr>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Sub-index</w:t>
            </w:r>
          </w:p>
        </w:tc>
        <w:tc>
          <w:tcPr>
            <w:tcW w:w="24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Direction</w:t>
            </w:r>
          </w:p>
        </w:tc>
        <w:tc>
          <w:tcPr>
            <w:tcW w:w="181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ERI.AR</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Activity retention</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retention</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Stress event</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ERI.LR</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Liquidity retention</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 retention</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Stress event</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ERI.SS</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Security-budget sustainability</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365 days/stress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ERI.TR</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Treasury and resource resilience</w:t>
            </w:r>
          </w:p>
        </w:tc>
        <w:tc>
          <w:tcPr>
            <w:tcW w:w="24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w:t>
            </w:r>
          </w:p>
        </w:tc>
        <w:tc>
          <w:tcPr>
            <w:tcW w:w="181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365 days</w:t>
            </w:r>
          </w:p>
        </w:tc>
      </w:tr>
      <w:tr>
        <w:trPr>
          <w:cantSplit w:val="true"/>
        </w:trPr>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ERI.SR</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Shock recovery performance</w:t>
            </w:r>
          </w:p>
        </w:tc>
        <w:tc>
          <w:tcPr>
            <w:tcW w:w="24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Positive</w:t>
            </w:r>
          </w:p>
        </w:tc>
        <w:tc>
          <w:tcPr>
            <w:tcW w:w="181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Stress event</w:t>
            </w:r>
            <w:bookmarkStart w:id="663" w:name="appendix-b-canonical-metric-registry"/>
            <w:bookmarkEnd w:id="663"/>
          </w:p>
        </w:tc>
      </w:tr>
    </w:tbl>
    <w:p>
      <w:pPr>
        <w:pStyle w:val="Heading1"/>
        <w:keepNext w:val="true"/>
        <w:keepLines/>
        <w:widowControl/>
        <w:pBdr>
          <w:bottom w:val="single" w:sz="6" w:space="5" w:color="8AB2BF"/>
        </w:pBdr>
        <w:jc w:val="start"/>
        <w:rPr/>
      </w:pPr>
      <w:bookmarkStart w:id="664" w:name="__RefHeading___Toc8847_528838595"/>
      <w:bookmarkEnd w:id="664"/>
      <w:r>
        <w:rPr/>
        <w:t>Appendix C — Worked VTS Example</w:t>
      </w:r>
    </w:p>
    <w:p>
      <w:pPr>
        <w:pStyle w:val="Normal"/>
        <w:rPr/>
      </w:pPr>
      <w:r>
        <w:rPr/>
        <w:t>Consider a fictional network with the following official parent indices:</w:t>
      </w:r>
    </w:p>
    <w:tbl>
      <w:tblPr>
        <w:tblStyle w:val="Table"/>
        <w:tblW w:w="7920" w:type="dxa"/>
        <w:jc w:val="center"/>
        <w:tblInd w:w="0" w:type="dxa"/>
        <w:tblLayout w:type="fixed"/>
        <w:tblCellMar>
          <w:top w:w="80" w:type="dxa"/>
          <w:start w:w="100" w:type="dxa"/>
          <w:bottom w:w="80" w:type="dxa"/>
          <w:end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Index</w:t>
            </w:r>
          </w:p>
        </w:tc>
        <w:tc>
          <w:tcPr>
            <w:tcW w:w="395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Score</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PoV</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72.0</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OPI</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64.0</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DLI</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70.0</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PII</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75.0</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RWAI</w:t>
            </w:r>
          </w:p>
        </w:tc>
        <w:tc>
          <w:tcPr>
            <w:tcW w:w="395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55.0</w:t>
            </w:r>
          </w:p>
        </w:tc>
      </w:tr>
      <w:tr>
        <w:trPr>
          <w:cantSplit w:val="true"/>
        </w:trPr>
        <w:tc>
          <w:tcPr>
            <w:tcW w:w="396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ERI</w:t>
            </w:r>
          </w:p>
        </w:tc>
        <w:tc>
          <w:tcPr>
            <w:tcW w:w="395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74.5</w:t>
            </w:r>
          </w:p>
        </w:tc>
      </w:tr>
    </w:tbl>
    <w:p>
      <w:pPr>
        <w:pStyle w:val="BodyText"/>
        <w:widowControl/>
        <w:rPr/>
      </w:pPr>
      <w:r>
        <w:rPr/>
        <w:t>The sum is:</w:t>
      </w:r>
    </w:p>
    <w:p>
      <w:pPr>
        <w:pStyle w:val="BodyText"/>
        <w:keepLines/>
        <w:spacing w:before="80" w:after="160"/>
        <w:jc w:val="center"/>
        <w:rPr/>
      </w:pPr>
      <w:r>
        <w:rPr/>
        <w:drawing>
          <wp:inline distT="0" distB="0" distL="0" distR="0">
            <wp:extent cx="3867785" cy="287020"/>
            <wp:effectExtent l="0" t="0" r="0" b="0"/>
            <wp:docPr id="64" name="Picture 64" descr="72+64+70+75+55+74.5=410.5"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72+64+70+75+55+74.5=410.5" title="Equation"/>
                    <pic:cNvPicPr>
                      <a:picLocks noChangeAspect="1" noChangeArrowheads="1"/>
                    </pic:cNvPicPr>
                  </pic:nvPicPr>
                  <pic:blipFill>
                    <a:blip r:embed="rId65"/>
                    <a:stretch>
                      <a:fillRect/>
                    </a:stretch>
                  </pic:blipFill>
                  <pic:spPr bwMode="auto">
                    <a:xfrm>
                      <a:off x="0" y="0"/>
                      <a:ext cx="3867785" cy="287020"/>
                    </a:xfrm>
                    <a:prstGeom prst="rect">
                      <a:avLst/>
                    </a:prstGeom>
                    <a:noFill/>
                  </pic:spPr>
                </pic:pic>
              </a:graphicData>
            </a:graphic>
          </wp:inline>
        </w:drawing>
      </w:r>
    </w:p>
    <w:p>
      <w:pPr>
        <w:pStyle w:val="Normal"/>
        <w:rPr/>
      </w:pPr>
      <w:r>
        <w:rPr/>
        <w:t>The core VTS is:</w:t>
      </w:r>
    </w:p>
    <w:p>
      <w:pPr>
        <w:pStyle w:val="BodyText"/>
        <w:keepLines/>
        <w:spacing w:before="80" w:after="160"/>
        <w:jc w:val="center"/>
        <w:rPr/>
      </w:pPr>
      <w:r>
        <w:rPr/>
        <w:drawing>
          <wp:inline distT="0" distB="0" distL="0" distR="0">
            <wp:extent cx="2816225" cy="429895"/>
            <wp:effectExtent l="0" t="0" r="0" b="0"/>
            <wp:docPr id="65" name="Picture 65" descr="VTS_{\mathrm{core}}=\frac{410.5}{600}=0.6841667"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VTS_{\mathrm{core}}=\frac{410.5}{600}=0.6841667" title="Equation"/>
                    <pic:cNvPicPr>
                      <a:picLocks noChangeAspect="1" noChangeArrowheads="1"/>
                    </pic:cNvPicPr>
                  </pic:nvPicPr>
                  <pic:blipFill>
                    <a:blip r:embed="rId66"/>
                    <a:stretch>
                      <a:fillRect/>
                    </a:stretch>
                  </pic:blipFill>
                  <pic:spPr bwMode="auto">
                    <a:xfrm>
                      <a:off x="0" y="0"/>
                      <a:ext cx="2816225" cy="429895"/>
                    </a:xfrm>
                    <a:prstGeom prst="rect">
                      <a:avLst/>
                    </a:prstGeom>
                    <a:noFill/>
                  </pic:spPr>
                </pic:pic>
              </a:graphicData>
            </a:graphic>
          </wp:inline>
        </w:drawing>
      </w:r>
    </w:p>
    <w:p>
      <w:pPr>
        <w:pStyle w:val="Normal"/>
        <w:rPr/>
      </w:pPr>
      <w:r>
        <w:rPr/>
        <w:t>Assume the current ERU_core is 0.625000:</w:t>
      </w:r>
    </w:p>
    <w:p>
      <w:pPr>
        <w:pStyle w:val="BodyText"/>
        <w:keepLines/>
        <w:spacing w:before="80" w:after="160"/>
        <w:jc w:val="center"/>
        <w:rPr/>
      </w:pPr>
      <w:r>
        <w:rPr/>
        <w:drawing>
          <wp:inline distT="0" distB="0" distL="0" distR="0">
            <wp:extent cx="2857500" cy="429895"/>
            <wp:effectExtent l="0" t="0" r="0" b="0"/>
            <wp:docPr id="66" name="Picture 66" descr="VTS=\frac{0.6841667}{0.625000}=1.0946667"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VTS=\frac{0.6841667}{0.625000}=1.0946667" title="Equation"/>
                    <pic:cNvPicPr>
                      <a:picLocks noChangeAspect="1" noChangeArrowheads="1"/>
                    </pic:cNvPicPr>
                  </pic:nvPicPr>
                  <pic:blipFill>
                    <a:blip r:embed="rId67"/>
                    <a:stretch>
                      <a:fillRect/>
                    </a:stretch>
                  </pic:blipFill>
                  <pic:spPr bwMode="auto">
                    <a:xfrm>
                      <a:off x="0" y="0"/>
                      <a:ext cx="2857500" cy="429895"/>
                    </a:xfrm>
                    <a:prstGeom prst="rect">
                      <a:avLst/>
                    </a:prstGeom>
                    <a:noFill/>
                  </pic:spPr>
                </pic:pic>
              </a:graphicData>
            </a:graphic>
          </wp:inline>
        </w:drawing>
      </w:r>
    </w:p>
    <w:p>
      <w:pPr>
        <w:pStyle w:val="Normal"/>
        <w:rPr/>
      </w:pPr>
      <w:r>
        <w:rPr/>
        <w:t>The network is therefore approximately 9.47% above the current reference benchmark.</w:t>
      </w:r>
    </w:p>
    <w:p>
      <w:pPr>
        <w:pStyle w:val="BodyText"/>
        <w:widowControl/>
        <w:rPr/>
      </w:pPr>
      <w:r>
        <w:rPr/>
        <w:t>Assume the standardised VRI is 0.910000:</w:t>
      </w:r>
    </w:p>
    <w:p>
      <w:pPr>
        <w:pStyle w:val="BodyText"/>
        <w:keepLines/>
        <w:spacing w:before="80" w:after="160"/>
        <w:jc w:val="center"/>
        <w:rPr/>
      </w:pPr>
      <w:r>
        <w:rPr/>
        <w:drawing>
          <wp:inline distT="0" distB="0" distL="0" distR="0">
            <wp:extent cx="5623560" cy="304800"/>
            <wp:effectExtent l="0" t="0" r="0" b="0"/>
            <wp:docPr id="67" name="Picture 67" descr="\mathrm{Opportunity\ Gap}=1.0946667-0.910000=0.1846667"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mathrm{Opportunity\ Gap}=1.0946667-0.910000=0.1846667" title="Equation"/>
                    <pic:cNvPicPr>
                      <a:picLocks noChangeAspect="1" noChangeArrowheads="1"/>
                    </pic:cNvPicPr>
                  </pic:nvPicPr>
                  <pic:blipFill>
                    <a:blip r:embed="rId68"/>
                    <a:stretch>
                      <a:fillRect/>
                    </a:stretch>
                  </pic:blipFill>
                  <pic:spPr bwMode="auto">
                    <a:xfrm>
                      <a:off x="0" y="0"/>
                      <a:ext cx="5623560" cy="304800"/>
                    </a:xfrm>
                    <a:prstGeom prst="rect">
                      <a:avLst/>
                    </a:prstGeom>
                    <a:noFill/>
                  </pic:spPr>
                </pic:pic>
              </a:graphicData>
            </a:graphic>
          </wp:inline>
        </w:drawing>
      </w:r>
    </w:p>
    <w:p>
      <w:pPr>
        <w:pStyle w:val="Normal"/>
        <w:rPr/>
      </w:pPr>
      <w:r>
        <w:rPr/>
        <w:t>The positive gap indicates that measured fundamentals exceed market recognition under the current model. Assume VRS is 38 and VCS is 87. The interpretation is:</w:t>
      </w:r>
    </w:p>
    <w:p>
      <w:pPr>
        <w:pStyle w:val="Compact"/>
        <w:widowControl/>
        <w:numPr>
          <w:ilvl w:val="0"/>
          <w:numId w:val="1489"/>
        </w:numPr>
        <w:rPr/>
      </w:pPr>
      <w:r>
        <w:rPr/>
        <w:t>above-reference intrinsic performance;</w:t>
      </w:r>
    </w:p>
    <w:p>
      <w:pPr>
        <w:pStyle w:val="Compact"/>
        <w:widowControl/>
        <w:numPr>
          <w:ilvl w:val="0"/>
          <w:numId w:val="1490"/>
        </w:numPr>
        <w:rPr/>
      </w:pPr>
      <w:r>
        <w:rPr/>
        <w:t>positive under-recognition signal;</w:t>
      </w:r>
    </w:p>
    <w:p>
      <w:pPr>
        <w:pStyle w:val="Compact"/>
        <w:widowControl/>
        <w:numPr>
          <w:ilvl w:val="0"/>
          <w:numId w:val="1491"/>
        </w:numPr>
        <w:rPr/>
      </w:pPr>
      <w:r>
        <w:rPr/>
        <w:t>moderate-low measured structural risk;</w:t>
      </w:r>
    </w:p>
    <w:p>
      <w:pPr>
        <w:pStyle w:val="Compact"/>
        <w:widowControl/>
        <w:numPr>
          <w:ilvl w:val="0"/>
          <w:numId w:val="1492"/>
        </w:numPr>
        <w:rPr/>
      </w:pPr>
      <w:r>
        <w:rPr/>
        <w:t>high-confidence evidence.</w:t>
      </w:r>
    </w:p>
    <w:p>
      <w:pPr>
        <w:pStyle w:val="Normal"/>
        <w:rPr/>
      </w:pPr>
      <w:r>
        <w:rPr/>
        <w:t>This remains a research conclusion, not a prediction that market price will rise.</w:t>
      </w:r>
    </w:p>
    <w:p>
      <w:pPr>
        <w:pStyle w:val="Heading2"/>
        <w:keepNext w:val="true"/>
        <w:keepLines/>
        <w:widowControl/>
        <w:rPr/>
      </w:pPr>
      <w:bookmarkStart w:id="665" w:name="__RefHeading___Toc8849_528838595"/>
      <w:bookmarkEnd w:id="665"/>
      <w:r>
        <w:rPr/>
        <w:t>C.1 Contribution analysis</w:t>
      </w:r>
    </w:p>
    <w:p>
      <w:pPr>
        <w:pStyle w:val="Normal"/>
        <w:rPr/>
      </w:pPr>
      <w:r>
        <w:rPr/>
        <w:t>Because parent indices are equal, every one-point change in a parent index changes VTS_core by:</w:t>
      </w:r>
    </w:p>
    <w:p>
      <w:pPr>
        <w:pStyle w:val="BodyText"/>
        <w:keepLines/>
        <w:spacing w:before="80" w:after="160"/>
        <w:jc w:val="center"/>
        <w:rPr/>
      </w:pPr>
      <w:r>
        <w:rPr/>
        <w:drawing>
          <wp:inline distT="0" distB="0" distL="0" distR="0">
            <wp:extent cx="1666240" cy="423545"/>
            <wp:effectExtent l="0" t="0" r="0" b="0"/>
            <wp:docPr id="68" name="Picture 68" descr="\frac{1}{600}=0.0016667"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frac{1}{600}=0.0016667" title="Equation"/>
                    <pic:cNvPicPr>
                      <a:picLocks noChangeAspect="1" noChangeArrowheads="1"/>
                    </pic:cNvPicPr>
                  </pic:nvPicPr>
                  <pic:blipFill>
                    <a:blip r:embed="rId69"/>
                    <a:stretch>
                      <a:fillRect/>
                    </a:stretch>
                  </pic:blipFill>
                  <pic:spPr bwMode="auto">
                    <a:xfrm>
                      <a:off x="0" y="0"/>
                      <a:ext cx="1666240" cy="423545"/>
                    </a:xfrm>
                    <a:prstGeom prst="rect">
                      <a:avLst/>
                    </a:prstGeom>
                    <a:noFill/>
                  </pic:spPr>
                </pic:pic>
              </a:graphicData>
            </a:graphic>
          </wp:inline>
        </w:drawing>
      </w:r>
    </w:p>
    <w:p>
      <w:pPr>
        <w:pStyle w:val="Normal"/>
        <w:rPr/>
      </w:pPr>
      <w:r>
        <w:rPr/>
        <w:t>The effect on standardised VTS depends on the current ERU:</w:t>
      </w:r>
    </w:p>
    <w:p>
      <w:pPr>
        <w:pStyle w:val="BodyText"/>
        <w:keepLines/>
        <w:spacing w:before="80" w:after="160"/>
        <w:jc w:val="center"/>
        <w:rPr/>
      </w:pPr>
      <w:r>
        <w:rPr/>
        <w:drawing>
          <wp:inline distT="0" distB="0" distL="0" distR="0">
            <wp:extent cx="1662430" cy="443865"/>
            <wp:effectExtent l="0" t="0" r="0" b="0"/>
            <wp:docPr id="69" name="Picture 69" descr="\Delta VTS=\frac{0.0016667}{ERU_{\mathrm{core}}}"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Delta VTS=\frac{0.0016667}{ERU_{\mathrm{core}}}" title="Equation"/>
                    <pic:cNvPicPr>
                      <a:picLocks noChangeAspect="1" noChangeArrowheads="1"/>
                    </pic:cNvPicPr>
                  </pic:nvPicPr>
                  <pic:blipFill>
                    <a:blip r:embed="rId70"/>
                    <a:stretch>
                      <a:fillRect/>
                    </a:stretch>
                  </pic:blipFill>
                  <pic:spPr bwMode="auto">
                    <a:xfrm>
                      <a:off x="0" y="0"/>
                      <a:ext cx="1662430" cy="443865"/>
                    </a:xfrm>
                    <a:prstGeom prst="rect">
                      <a:avLst/>
                    </a:prstGeom>
                    <a:noFill/>
                  </pic:spPr>
                </pic:pic>
              </a:graphicData>
            </a:graphic>
          </wp:inline>
        </w:drawing>
      </w:r>
    </w:p>
    <w:p>
      <w:pPr>
        <w:pStyle w:val="Normal"/>
        <w:rPr/>
      </w:pPr>
      <w:bookmarkStart w:id="666" w:name="c.1-contribution-analysis"/>
      <w:r>
        <w:rPr/>
        <w:t>At an ERU core of 0.625, one parent-index point changes VTS by approximately 0.002667.</w:t>
      </w:r>
      <w:bookmarkEnd w:id="666"/>
    </w:p>
    <w:p>
      <w:pPr>
        <w:pStyle w:val="Heading1"/>
        <w:keepNext w:val="true"/>
        <w:keepLines/>
        <w:widowControl/>
        <w:pBdr>
          <w:bottom w:val="single" w:sz="6" w:space="5" w:color="8AB2BF"/>
        </w:pBdr>
        <w:jc w:val="start"/>
        <w:rPr/>
      </w:pPr>
      <w:bookmarkStart w:id="667" w:name="__RefHeading___Toc8851_528838595"/>
      <w:bookmarkEnd w:id="667"/>
      <w:r>
        <w:rPr/>
        <w:t>Appendix D — Worked V-FOREX and VOX Example</w:t>
      </w:r>
    </w:p>
    <w:p>
      <w:pPr>
        <w:pStyle w:val="Heading2"/>
        <w:keepNext w:val="true"/>
        <w:keepLines/>
        <w:widowControl/>
        <w:rPr/>
      </w:pPr>
      <w:bookmarkStart w:id="668" w:name="__RefHeading___Toc8853_528838595"/>
      <w:bookmarkEnd w:id="668"/>
      <w:r>
        <w:rPr/>
        <w:t>D.1 Reference pair</w:t>
      </w:r>
    </w:p>
    <w:p>
      <w:pPr>
        <w:pStyle w:val="Normal"/>
        <w:rPr/>
      </w:pPr>
      <w:r>
        <w:rPr/>
        <w:t>Assume:</w:t>
      </w:r>
    </w:p>
    <w:p>
      <w:pPr>
        <w:pStyle w:val="BodyText"/>
        <w:keepLines/>
        <w:spacing w:before="80" w:after="160"/>
        <w:jc w:val="center"/>
        <w:rPr/>
      </w:pPr>
      <w:r>
        <w:rPr/>
        <w:drawing>
          <wp:inline distT="0" distB="0" distL="0" distR="0">
            <wp:extent cx="3021330" cy="287020"/>
            <wp:effectExtent l="0" t="0" r="0" b="0"/>
            <wp:docPr id="70" name="Picture 70" descr="VTS_A=1.20,\qquad VTS_B=0.8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VTS_A=1.20,\qquad VTS_B=0.80" title="Equation"/>
                    <pic:cNvPicPr>
                      <a:picLocks noChangeAspect="1" noChangeArrowheads="1"/>
                    </pic:cNvPicPr>
                  </pic:nvPicPr>
                  <pic:blipFill>
                    <a:blip r:embed="rId71"/>
                    <a:stretch>
                      <a:fillRect/>
                    </a:stretch>
                  </pic:blipFill>
                  <pic:spPr bwMode="auto">
                    <a:xfrm>
                      <a:off x="0" y="0"/>
                      <a:ext cx="3021330" cy="287020"/>
                    </a:xfrm>
                    <a:prstGeom prst="rect">
                      <a:avLst/>
                    </a:prstGeom>
                    <a:noFill/>
                  </pic:spPr>
                </pic:pic>
              </a:graphicData>
            </a:graphic>
          </wp:inline>
        </w:drawing>
      </w:r>
    </w:p>
    <w:p>
      <w:pPr>
        <w:pStyle w:val="Normal"/>
        <w:rPr/>
      </w:pPr>
      <w:r>
        <w:rPr/>
        <w:t>Then:</w:t>
      </w:r>
    </w:p>
    <w:p>
      <w:pPr>
        <w:pStyle w:val="BodyText"/>
        <w:keepLines/>
        <w:spacing w:before="80" w:after="160"/>
        <w:jc w:val="center"/>
        <w:rPr/>
      </w:pPr>
      <w:r>
        <w:rPr/>
        <w:drawing>
          <wp:inline distT="0" distB="0" distL="0" distR="0">
            <wp:extent cx="2051685" cy="429895"/>
            <wp:effectExtent l="0" t="0" r="0" b="0"/>
            <wp:docPr id="71" name="Picture 71" descr="R_{\mathrm{ref}}\!\left(\frac{A}{B}\right)=\frac{1.20}{0.80}=1.5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R_{\mathrm{ref}}\!\left(\frac{A}{B}\right)=\frac{1.20}{0.80}=1.50" title="Equation"/>
                    <pic:cNvPicPr>
                      <a:picLocks noChangeAspect="1" noChangeArrowheads="1"/>
                    </pic:cNvPicPr>
                  </pic:nvPicPr>
                  <pic:blipFill>
                    <a:blip r:embed="rId72"/>
                    <a:stretch>
                      <a:fillRect/>
                    </a:stretch>
                  </pic:blipFill>
                  <pic:spPr bwMode="auto">
                    <a:xfrm>
                      <a:off x="0" y="0"/>
                      <a:ext cx="2051685" cy="429895"/>
                    </a:xfrm>
                    <a:prstGeom prst="rect">
                      <a:avLst/>
                    </a:prstGeom>
                    <a:noFill/>
                  </pic:spPr>
                </pic:pic>
              </a:graphicData>
            </a:graphic>
          </wp:inline>
        </w:drawing>
      </w:r>
    </w:p>
    <w:p>
      <w:pPr>
        <w:pStyle w:val="Normal"/>
        <w:rPr/>
      </w:pPr>
      <w:r>
        <w:rPr/>
        <w:t>If a real market trades at 1.65:</w:t>
      </w:r>
    </w:p>
    <w:p>
      <w:pPr>
        <w:pStyle w:val="BodyText"/>
        <w:keepLines/>
        <w:spacing w:before="80" w:after="160"/>
        <w:jc w:val="center"/>
        <w:rPr/>
      </w:pPr>
      <w:r>
        <w:rPr/>
        <w:drawing>
          <wp:inline distT="0" distB="0" distL="0" distR="0">
            <wp:extent cx="4379595" cy="429895"/>
            <wp:effectExtent l="0" t="0" r="0" b="0"/>
            <wp:docPr id="72" name="Picture 72" descr="\mathrm{Premium/Discount}=\frac{1.65}{1.50}-1=0.10=1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mathrm{Premium/Discount}=\frac{1.65}{1.50}-1=0.10=10\%" title="Equation"/>
                    <pic:cNvPicPr>
                      <a:picLocks noChangeAspect="1" noChangeArrowheads="1"/>
                    </pic:cNvPicPr>
                  </pic:nvPicPr>
                  <pic:blipFill>
                    <a:blip r:embed="rId73"/>
                    <a:stretch>
                      <a:fillRect/>
                    </a:stretch>
                  </pic:blipFill>
                  <pic:spPr bwMode="auto">
                    <a:xfrm>
                      <a:off x="0" y="0"/>
                      <a:ext cx="4379595" cy="429895"/>
                    </a:xfrm>
                    <a:prstGeom prst="rect">
                      <a:avLst/>
                    </a:prstGeom>
                    <a:noFill/>
                  </pic:spPr>
                </pic:pic>
              </a:graphicData>
            </a:graphic>
          </wp:inline>
        </w:drawing>
      </w:r>
    </w:p>
    <w:p>
      <w:pPr>
        <w:pStyle w:val="Normal"/>
        <w:rPr/>
      </w:pPr>
      <w:bookmarkStart w:id="669" w:name="d.1-reference-pair"/>
      <w:r>
        <w:rPr/>
        <w:t>VOX-A trades at a 10% premium to the VTS reference relative to VOX-B. This is a market observation, not proof of risk-free arbitrage.</w:t>
      </w:r>
      <w:bookmarkEnd w:id="669"/>
    </w:p>
    <w:p>
      <w:pPr>
        <w:pStyle w:val="Heading2"/>
        <w:keepNext w:val="true"/>
        <w:keepLines/>
        <w:widowControl/>
        <w:rPr/>
      </w:pPr>
      <w:bookmarkStart w:id="670" w:name="__RefHeading___Toc8855_528838595"/>
      <w:bookmarkEnd w:id="670"/>
      <w:r>
        <w:rPr/>
        <w:t>D.2 Indexed-supply example</w:t>
      </w:r>
    </w:p>
    <w:p>
      <w:pPr>
        <w:pStyle w:val="Normal"/>
        <w:rPr/>
      </w:pPr>
      <w:r>
        <w:rPr/>
        <w:t>Assume the optional implementation uses:</w:t>
      </w:r>
    </w:p>
    <w:p>
      <w:pPr>
        <w:pStyle w:val="Compact"/>
        <w:widowControl/>
        <w:numPr>
          <w:ilvl w:val="0"/>
          <w:numId w:val="1493"/>
        </w:numPr>
        <w:rPr/>
      </w:pPr>
      <w:r>
        <w:rPr/>
        <w:t>C_ref = 10,000,000;</w:t>
      </w:r>
    </w:p>
    <w:p>
      <w:pPr>
        <w:pStyle w:val="Compact"/>
        <w:widowControl/>
        <w:numPr>
          <w:ilvl w:val="0"/>
          <w:numId w:val="1494"/>
        </w:numPr>
        <w:rPr/>
      </w:pPr>
      <w:r>
        <w:rPr/>
        <w:t>κ = 1;</w:t>
      </w:r>
    </w:p>
    <w:p>
      <w:pPr>
        <w:pStyle w:val="Compact"/>
        <w:widowControl/>
        <w:numPr>
          <w:ilvl w:val="0"/>
          <w:numId w:val="1495"/>
        </w:numPr>
        <w:rPr/>
      </w:pPr>
      <w:r>
        <w:rPr/>
        <w:t>g_min = 0.20;</w:t>
      </w:r>
    </w:p>
    <w:p>
      <w:pPr>
        <w:pStyle w:val="Compact"/>
        <w:widowControl/>
        <w:numPr>
          <w:ilvl w:val="0"/>
          <w:numId w:val="1496"/>
        </w:numPr>
        <w:rPr/>
      </w:pPr>
      <w:r>
        <w:rPr/>
        <w:t>g_max = 1.50;</w:t>
      </w:r>
    </w:p>
    <w:p>
      <w:pPr>
        <w:pStyle w:val="Compact"/>
        <w:widowControl/>
        <w:numPr>
          <w:ilvl w:val="0"/>
          <w:numId w:val="1497"/>
        </w:numPr>
        <w:rPr/>
      </w:pPr>
      <w:r>
        <w:rPr/>
        <w:t>VTS = 1.10;</w:t>
      </w:r>
    </w:p>
    <w:p>
      <w:pPr>
        <w:pStyle w:val="Compact"/>
        <w:widowControl/>
        <w:numPr>
          <w:ilvl w:val="0"/>
          <w:numId w:val="1498"/>
        </w:numPr>
        <w:rPr/>
      </w:pPr>
      <w:r>
        <w:rPr/>
        <w:t>current supply S_current = 9,500,000;</w:t>
      </w:r>
    </w:p>
    <w:p>
      <w:pPr>
        <w:pStyle w:val="Compact"/>
        <w:widowControl/>
        <w:numPr>
          <w:ilvl w:val="0"/>
          <w:numId w:val="1499"/>
        </w:numPr>
        <w:rPr/>
      </w:pPr>
      <w:r>
        <w:rPr/>
        <w:t>maximum adjustment r_max = 2% per period.</w:t>
      </w:r>
    </w:p>
    <w:p>
      <w:pPr>
        <w:pStyle w:val="Normal"/>
        <w:rPr/>
      </w:pPr>
      <w:r>
        <w:rPr/>
        <w:t>Target supply:</w:t>
      </w:r>
    </w:p>
    <w:p>
      <w:pPr>
        <w:pStyle w:val="BodyText"/>
        <w:keepLines/>
        <w:spacing w:before="80" w:after="160"/>
        <w:jc w:val="center"/>
        <w:rPr/>
      </w:pPr>
      <w:r>
        <w:rPr/>
        <w:drawing>
          <wp:inline distT="0" distB="0" distL="0" distR="0">
            <wp:extent cx="4116705" cy="327660"/>
            <wp:effectExtent l="0" t="0" r="0" b="0"/>
            <wp:docPr id="73" name="Picture 73" descr="S_{\mathrm{target}}=10{,}000{,}000\times1.10=11{,}000{,}0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S_{\mathrm{target}}=10{,}000{,}000\times1.10=11{,}000{,}000" title="Equation"/>
                    <pic:cNvPicPr>
                      <a:picLocks noChangeAspect="1" noChangeArrowheads="1"/>
                    </pic:cNvPicPr>
                  </pic:nvPicPr>
                  <pic:blipFill>
                    <a:blip r:embed="rId74"/>
                    <a:stretch>
                      <a:fillRect/>
                    </a:stretch>
                  </pic:blipFill>
                  <pic:spPr bwMode="auto">
                    <a:xfrm>
                      <a:off x="0" y="0"/>
                      <a:ext cx="4116705" cy="327660"/>
                    </a:xfrm>
                    <a:prstGeom prst="rect">
                      <a:avLst/>
                    </a:prstGeom>
                    <a:noFill/>
                  </pic:spPr>
                </pic:pic>
              </a:graphicData>
            </a:graphic>
          </wp:inline>
        </w:drawing>
      </w:r>
    </w:p>
    <w:p>
      <w:pPr>
        <w:pStyle w:val="Normal"/>
        <w:rPr/>
      </w:pPr>
      <w:r>
        <w:rPr/>
        <w:t>Unbounded adjustment:</w:t>
      </w:r>
    </w:p>
    <w:p>
      <w:pPr>
        <w:pStyle w:val="BodyText"/>
        <w:keepLines/>
        <w:spacing w:before="80" w:after="160"/>
        <w:jc w:val="center"/>
        <w:rPr/>
      </w:pPr>
      <w:r>
        <w:rPr/>
        <w:drawing>
          <wp:inline distT="0" distB="0" distL="0" distR="0">
            <wp:extent cx="2399665" cy="488315"/>
            <wp:effectExtent l="0" t="0" r="0" b="0"/>
            <wp:docPr id="74" name="Picture 74" descr="\frac{11{,}000{,}000}{9{,}500{,}000}-1=15.789\%"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frac{11{,}000{,}000}{9{,}500{,}000}-1=15.789\%" title="Equation"/>
                    <pic:cNvPicPr>
                      <a:picLocks noChangeAspect="1" noChangeArrowheads="1"/>
                    </pic:cNvPicPr>
                  </pic:nvPicPr>
                  <pic:blipFill>
                    <a:blip r:embed="rId75"/>
                    <a:stretch>
                      <a:fillRect/>
                    </a:stretch>
                  </pic:blipFill>
                  <pic:spPr bwMode="auto">
                    <a:xfrm>
                      <a:off x="0" y="0"/>
                      <a:ext cx="2399665" cy="488315"/>
                    </a:xfrm>
                    <a:prstGeom prst="rect">
                      <a:avLst/>
                    </a:prstGeom>
                    <a:noFill/>
                  </pic:spPr>
                </pic:pic>
              </a:graphicData>
            </a:graphic>
          </wp:inline>
        </w:drawing>
      </w:r>
    </w:p>
    <w:p>
      <w:pPr>
        <w:pStyle w:val="Normal"/>
        <w:rPr/>
      </w:pPr>
      <w:r>
        <w:rPr/>
        <w:t>The 2% limit applies:</w:t>
      </w:r>
    </w:p>
    <w:p>
      <w:pPr>
        <w:pStyle w:val="BodyText"/>
        <w:keepLines/>
        <w:spacing w:before="80" w:after="160"/>
        <w:jc w:val="center"/>
        <w:rPr/>
      </w:pPr>
      <w:r>
        <w:rPr/>
        <w:drawing>
          <wp:inline distT="0" distB="0" distL="0" distR="0">
            <wp:extent cx="1508760" cy="589280"/>
            <wp:effectExtent l="0" t="0" r="0" b="0"/>
            <wp:docPr id="75" name="Picture 75" descr="r_t=2\%"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r_t=2\%" title="Equation"/>
                    <pic:cNvPicPr>
                      <a:picLocks noChangeAspect="1" noChangeArrowheads="1"/>
                    </pic:cNvPicPr>
                  </pic:nvPicPr>
                  <pic:blipFill>
                    <a:blip r:embed="rId76"/>
                    <a:stretch>
                      <a:fillRect/>
                    </a:stretch>
                  </pic:blipFill>
                  <pic:spPr bwMode="auto">
                    <a:xfrm>
                      <a:off x="0" y="0"/>
                      <a:ext cx="1508760" cy="589280"/>
                    </a:xfrm>
                    <a:prstGeom prst="rect">
                      <a:avLst/>
                    </a:prstGeom>
                    <a:noFill/>
                  </pic:spPr>
                </pic:pic>
              </a:graphicData>
            </a:graphic>
          </wp:inline>
        </w:drawing>
      </w:r>
    </w:p>
    <w:p>
      <w:pPr>
        <w:pStyle w:val="Normal"/>
        <w:rPr/>
      </w:pPr>
      <w:r>
        <w:rPr/>
        <w:t>Next supply:</w:t>
      </w:r>
    </w:p>
    <w:p>
      <w:pPr>
        <w:pStyle w:val="BodyText"/>
        <w:keepLines/>
        <w:spacing w:before="80" w:after="160"/>
        <w:jc w:val="center"/>
        <w:rPr/>
      </w:pPr>
      <w:r>
        <w:rPr/>
        <w:drawing>
          <wp:inline distT="0" distB="0" distL="0" distR="0">
            <wp:extent cx="3755390" cy="287020"/>
            <wp:effectExtent l="0" t="0" r="0" b="0"/>
            <wp:docPr id="76" name="Picture 76" descr="S_{\mathrm{next}}=9{,}500{,}000\times1.02=9{,}690{,}0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S_{\mathrm{next}}=9{,}500{,}000\times1.02=9{,}690{,}000" title="Equation"/>
                    <pic:cNvPicPr>
                      <a:picLocks noChangeAspect="1" noChangeArrowheads="1"/>
                    </pic:cNvPicPr>
                  </pic:nvPicPr>
                  <pic:blipFill>
                    <a:blip r:embed="rId77"/>
                    <a:stretch>
                      <a:fillRect/>
                    </a:stretch>
                  </pic:blipFill>
                  <pic:spPr bwMode="auto">
                    <a:xfrm>
                      <a:off x="0" y="0"/>
                      <a:ext cx="3755390" cy="287020"/>
                    </a:xfrm>
                    <a:prstGeom prst="rect">
                      <a:avLst/>
                    </a:prstGeom>
                    <a:noFill/>
                  </pic:spPr>
                </pic:pic>
              </a:graphicData>
            </a:graphic>
          </wp:inline>
        </w:drawing>
      </w:r>
    </w:p>
    <w:p>
      <w:pPr>
        <w:pStyle w:val="Normal"/>
        <w:rPr/>
      </w:pPr>
      <w:r>
        <w:rPr/>
        <w:t>The target is approached gradually rather than through immediate expansion.</w:t>
      </w:r>
    </w:p>
    <w:p>
      <w:pPr>
        <w:pStyle w:val="BodyText"/>
        <w:widowControl/>
        <w:rPr/>
      </w:pPr>
      <w:r>
        <w:rPr/>
        <w:t>If VTS later falls and the target becomes 9,000,000 while current supply is 9,690,000, the unbounded contraction is approximately -7.12%. The -2% limit applies:</w:t>
      </w:r>
    </w:p>
    <w:p>
      <w:pPr>
        <w:pStyle w:val="BodyText"/>
        <w:keepLines/>
        <w:spacing w:before="80" w:after="160"/>
        <w:jc w:val="center"/>
        <w:rPr/>
      </w:pPr>
      <w:r>
        <w:rPr/>
        <w:drawing>
          <wp:inline distT="0" distB="0" distL="0" distR="0">
            <wp:extent cx="3755390" cy="287020"/>
            <wp:effectExtent l="0" t="0" r="0" b="0"/>
            <wp:docPr id="77" name="Picture 77" descr="S_{\mathrm{next}}=9{,}690{,}000\times0.98=9{,}496{,}20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S_{\mathrm{next}}=9{,}690{,}000\times0.98=9{,}496{,}200" title="Equation"/>
                    <pic:cNvPicPr>
                      <a:picLocks noChangeAspect="1" noChangeArrowheads="1"/>
                    </pic:cNvPicPr>
                  </pic:nvPicPr>
                  <pic:blipFill>
                    <a:blip r:embed="rId78"/>
                    <a:stretch>
                      <a:fillRect/>
                    </a:stretch>
                  </pic:blipFill>
                  <pic:spPr bwMode="auto">
                    <a:xfrm>
                      <a:off x="0" y="0"/>
                      <a:ext cx="3755390" cy="287020"/>
                    </a:xfrm>
                    <a:prstGeom prst="rect">
                      <a:avLst/>
                    </a:prstGeom>
                    <a:noFill/>
                  </pic:spPr>
                </pic:pic>
              </a:graphicData>
            </a:graphic>
          </wp:inline>
        </w:drawing>
      </w:r>
    </w:p>
    <w:p>
      <w:pPr>
        <w:pStyle w:val="Normal"/>
        <w:rPr/>
      </w:pPr>
      <w:bookmarkStart w:id="671" w:name="Xb725a388344d7e175d6174cf77db794adac6a5a"/>
      <w:bookmarkStart w:id="672" w:name="d.2-indexed-supply-example"/>
      <w:r>
        <w:rPr/>
        <w:t>Every indexed balance contracts proportionally. This resolves the earlier undefined supply-compression problem.</w:t>
      </w:r>
      <w:bookmarkEnd w:id="671"/>
      <w:bookmarkEnd w:id="672"/>
    </w:p>
    <w:p>
      <w:pPr>
        <w:pStyle w:val="Heading1"/>
        <w:keepNext w:val="true"/>
        <w:keepLines/>
        <w:widowControl/>
        <w:pBdr>
          <w:bottom w:val="single" w:sz="6" w:space="5" w:color="8AB2BF"/>
        </w:pBdr>
        <w:jc w:val="start"/>
        <w:rPr/>
      </w:pPr>
      <w:bookmarkStart w:id="673" w:name="__RefHeading___Toc8857_528838595"/>
      <w:bookmarkEnd w:id="673"/>
      <w:r>
        <w:rPr/>
        <w:t>Appendix E — Adapter Standard</w:t>
      </w:r>
    </w:p>
    <w:p>
      <w:pPr>
        <w:pStyle w:val="Normal"/>
        <w:rPr/>
      </w:pPr>
      <w:r>
        <w:rPr/>
        <w:t>Every certified adapter repository contains:</w:t>
      </w:r>
    </w:p>
    <w:p>
      <w:pPr>
        <w:pStyle w:val="Compact"/>
        <w:widowControl/>
        <w:numPr>
          <w:ilvl w:val="0"/>
          <w:numId w:val="1500"/>
        </w:numPr>
        <w:rPr/>
      </w:pPr>
      <w:r>
        <w:rPr/>
        <w:t>network.yaml — canonical network identity, architecture and scope.</w:t>
      </w:r>
    </w:p>
    <w:p>
      <w:pPr>
        <w:pStyle w:val="Compact"/>
        <w:widowControl/>
        <w:numPr>
          <w:ilvl w:val="0"/>
          <w:numId w:val="1501"/>
        </w:numPr>
        <w:rPr/>
      </w:pPr>
      <w:r>
        <w:rPr/>
        <w:t>metrics.yaml — supported canonical metric IDs and versions.</w:t>
      </w:r>
    </w:p>
    <w:p>
      <w:pPr>
        <w:pStyle w:val="Compact"/>
        <w:widowControl/>
        <w:numPr>
          <w:ilvl w:val="0"/>
          <w:numId w:val="1502"/>
        </w:numPr>
        <w:rPr/>
      </w:pPr>
      <w:r>
        <w:rPr/>
        <w:t>sources.yaml — source hierarchy, licences and fallback rules.</w:t>
      </w:r>
    </w:p>
    <w:p>
      <w:pPr>
        <w:pStyle w:val="Compact"/>
        <w:widowControl/>
        <w:numPr>
          <w:ilvl w:val="0"/>
          <w:numId w:val="1503"/>
        </w:numPr>
        <w:rPr/>
      </w:pPr>
      <w:r>
        <w:rPr/>
        <w:t>queries/ — RPC, SQL, subgraph or API extraction logic.</w:t>
      </w:r>
    </w:p>
    <w:p>
      <w:pPr>
        <w:pStyle w:val="Compact"/>
        <w:widowControl/>
        <w:numPr>
          <w:ilvl w:val="0"/>
          <w:numId w:val="1504"/>
        </w:numPr>
        <w:rPr/>
      </w:pPr>
      <w:r>
        <w:rPr/>
        <w:t>transforms/ — unit, classification and quality transformations.</w:t>
      </w:r>
    </w:p>
    <w:p>
      <w:pPr>
        <w:pStyle w:val="Compact"/>
        <w:widowControl/>
        <w:numPr>
          <w:ilvl w:val="0"/>
          <w:numId w:val="1505"/>
        </w:numPr>
        <w:rPr/>
      </w:pPr>
      <w:r>
        <w:rPr/>
        <w:t>fixtures/ — known block, transaction and event examples.</w:t>
      </w:r>
    </w:p>
    <w:p>
      <w:pPr>
        <w:pStyle w:val="Compact"/>
        <w:widowControl/>
        <w:numPr>
          <w:ilvl w:val="0"/>
          <w:numId w:val="1506"/>
        </w:numPr>
        <w:rPr/>
      </w:pPr>
      <w:r>
        <w:rPr/>
        <w:t>tests/ — unit, integration, regression and failure tests.</w:t>
      </w:r>
    </w:p>
    <w:p>
      <w:pPr>
        <w:pStyle w:val="Compact"/>
        <w:widowControl/>
        <w:numPr>
          <w:ilvl w:val="0"/>
          <w:numId w:val="1507"/>
        </w:numPr>
        <w:rPr/>
      </w:pPr>
      <w:r>
        <w:rPr/>
        <w:t>limitations.md — blind spots, assumptions and unobservable data.</w:t>
      </w:r>
    </w:p>
    <w:p>
      <w:pPr>
        <w:pStyle w:val="Compact"/>
        <w:widowControl/>
        <w:numPr>
          <w:ilvl w:val="0"/>
          <w:numId w:val="1508"/>
        </w:numPr>
        <w:rPr/>
      </w:pPr>
      <w:r>
        <w:rPr/>
        <w:t>CHANGELOG.md — version history.</w:t>
      </w:r>
    </w:p>
    <w:p>
      <w:pPr>
        <w:pStyle w:val="Compact"/>
        <w:widowControl/>
        <w:numPr>
          <w:ilvl w:val="0"/>
          <w:numId w:val="1509"/>
        </w:numPr>
        <w:rPr/>
      </w:pPr>
      <w:r>
        <w:rPr/>
        <w:t>BUILD.md — reproducible environment and execution steps.</w:t>
      </w:r>
    </w:p>
    <w:p>
      <w:pPr>
        <w:pStyle w:val="Heading2"/>
        <w:keepNext w:val="true"/>
        <w:keepLines/>
        <w:widowControl/>
        <w:rPr/>
      </w:pPr>
      <w:bookmarkStart w:id="674" w:name="__RefHeading___Toc8859_528838595"/>
      <w:bookmarkEnd w:id="674"/>
      <w:r>
        <w:rPr/>
        <w:t>E.1 Required adapter metadata</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Field</w:t>
            </w:r>
          </w:p>
        </w:tc>
        <w:tc>
          <w:tcPr>
            <w:tcW w:w="481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Description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Network ID</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Stable identifier independent of branding changes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Architecture class</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PoW, PoS, rollup, app-chain, modular or other</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Genesis and history</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Earliest reliable observation date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Canonical scope</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Included execution, settlement and ecosystem boundaries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Maintainers</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Public keys and governance status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Certification state</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Experimental, provisional, certified or suspended</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Dependencies</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Nodes, providers, indexers, contracts and libraries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Critical assumptions</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Trust and classification assumptions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Test coverage</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Automated and manually reviewed coverage</w:t>
            </w:r>
            <w:bookmarkStart w:id="675" w:name="e.1-required-adapter-metadata"/>
            <w:bookmarkEnd w:id="675"/>
          </w:p>
        </w:tc>
      </w:tr>
    </w:tbl>
    <w:p>
      <w:pPr>
        <w:pStyle w:val="Heading2"/>
        <w:keepNext w:val="true"/>
        <w:keepLines/>
        <w:widowControl/>
        <w:rPr/>
      </w:pPr>
      <w:bookmarkStart w:id="676" w:name="__RefHeading___Toc8861_528838595"/>
      <w:bookmarkEnd w:id="676"/>
      <w:r>
        <w:rPr/>
        <w:t>E.2 Adapter review checklist</w:t>
      </w:r>
    </w:p>
    <w:p>
      <w:pPr>
        <w:pStyle w:val="Compact"/>
        <w:widowControl/>
        <w:numPr>
          <w:ilvl w:val="0"/>
          <w:numId w:val="1510"/>
        </w:numPr>
        <w:rPr/>
      </w:pPr>
      <w:r>
        <w:rPr/>
        <w:t>Are quantities expressed in canonical units?</w:t>
      </w:r>
    </w:p>
    <w:p>
      <w:pPr>
        <w:pStyle w:val="Compact"/>
        <w:widowControl/>
        <w:numPr>
          <w:ilvl w:val="0"/>
          <w:numId w:val="1511"/>
        </w:numPr>
        <w:rPr/>
      </w:pPr>
      <w:r>
        <w:rPr/>
        <w:t>Are bridge and wrapped-asset duplicates removed?</w:t>
      </w:r>
    </w:p>
    <w:p>
      <w:pPr>
        <w:pStyle w:val="Compact"/>
        <w:widowControl/>
        <w:numPr>
          <w:ilvl w:val="0"/>
          <w:numId w:val="1512"/>
        </w:numPr>
        <w:rPr/>
      </w:pPr>
      <w:r>
        <w:rPr/>
        <w:t>Are contract and system accounts classified consistently?</w:t>
      </w:r>
    </w:p>
    <w:p>
      <w:pPr>
        <w:pStyle w:val="Compact"/>
        <w:widowControl/>
        <w:numPr>
          <w:ilvl w:val="0"/>
          <w:numId w:val="1513"/>
        </w:numPr>
        <w:rPr/>
      </w:pPr>
      <w:r>
        <w:rPr/>
        <w:t>Are consensus entities mapped to effective control where possible?</w:t>
      </w:r>
    </w:p>
    <w:p>
      <w:pPr>
        <w:pStyle w:val="Compact"/>
        <w:widowControl/>
        <w:numPr>
          <w:ilvl w:val="0"/>
          <w:numId w:val="1514"/>
        </w:numPr>
        <w:rPr/>
      </w:pPr>
      <w:r>
        <w:rPr/>
        <w:t>Are source failures explicit?</w:t>
      </w:r>
    </w:p>
    <w:p>
      <w:pPr>
        <w:pStyle w:val="Compact"/>
        <w:widowControl/>
        <w:numPr>
          <w:ilvl w:val="0"/>
          <w:numId w:val="1515"/>
        </w:numPr>
        <w:rPr/>
      </w:pPr>
      <w:r>
        <w:rPr/>
        <w:t>Are data revisions versioned?</w:t>
      </w:r>
    </w:p>
    <w:p>
      <w:pPr>
        <w:pStyle w:val="Compact"/>
        <w:widowControl/>
        <w:numPr>
          <w:ilvl w:val="0"/>
          <w:numId w:val="1516"/>
        </w:numPr>
        <w:rPr/>
      </w:pPr>
      <w:r>
        <w:rPr/>
        <w:t>Can a third party reproduce the output?</w:t>
      </w:r>
    </w:p>
    <w:p>
      <w:pPr>
        <w:pStyle w:val="Compact"/>
        <w:widowControl/>
        <w:numPr>
          <w:ilvl w:val="0"/>
          <w:numId w:val="1517"/>
        </w:numPr>
        <w:rPr/>
      </w:pPr>
      <w:r>
        <w:rPr/>
        <w:t>Does the adapter expose privacy or legal concerns?</w:t>
      </w:r>
    </w:p>
    <w:p>
      <w:pPr>
        <w:pStyle w:val="Compact"/>
        <w:widowControl/>
        <w:numPr>
          <w:ilvl w:val="0"/>
          <w:numId w:val="1518"/>
        </w:numPr>
        <w:rPr/>
      </w:pPr>
      <w:bookmarkStart w:id="677" w:name="appendix-e-adapter-standard"/>
      <w:r>
        <w:rPr/>
        <w:t>Does it create a systematic advantage for the network architecture?</w:t>
      </w:r>
      <w:bookmarkEnd w:id="677"/>
    </w:p>
    <w:p>
      <w:pPr>
        <w:pStyle w:val="Heading1"/>
        <w:keepNext w:val="true"/>
        <w:keepLines/>
        <w:widowControl/>
        <w:pBdr>
          <w:bottom w:val="single" w:sz="6" w:space="5" w:color="8AB2BF"/>
        </w:pBdr>
        <w:jc w:val="start"/>
        <w:rPr/>
      </w:pPr>
      <w:bookmarkStart w:id="678" w:name="__RefHeading___Toc8863_528838595"/>
      <w:bookmarkEnd w:id="678"/>
      <w:r>
        <w:rPr/>
        <w:t>Appendix F — Data Quality and Confidence Rules</w:t>
      </w:r>
    </w:p>
    <w:p>
      <w:pPr>
        <w:pStyle w:val="Heading2"/>
        <w:keepNext w:val="true"/>
        <w:keepLines/>
        <w:widowControl/>
        <w:rPr/>
      </w:pPr>
      <w:bookmarkStart w:id="679" w:name="__RefHeading___Toc8865_528838595"/>
      <w:bookmarkEnd w:id="679"/>
      <w:r>
        <w:rPr/>
        <w:t>F.1 Source-quality scale</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5507"/>
        <w:gridCol w:w="4130"/>
      </w:tblGrid>
      <w:tr>
        <w:trPr>
          <w:tblHeader w:val="true"/>
          <w:cantSplit w:val="true"/>
        </w:trPr>
        <w:tc>
          <w:tcPr>
            <w:tcW w:w="5507"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end"/>
              <w:rPr>
                <w:rFonts w:cs=""/>
                <w:kern w:val="0"/>
                <w:szCs w:val="22"/>
                <w:lang w:val="en-GB" w:eastAsia="en-US" w:bidi="ar-SA"/>
              </w:rPr>
            </w:pPr>
            <w:r>
              <w:rPr>
                <w:rFonts w:cs=""/>
                <w:b/>
                <w:color w:val="FFFFFF"/>
                <w:kern w:val="0"/>
                <w:sz w:val="16"/>
                <w:szCs w:val="22"/>
                <w:lang w:val="en-GB" w:eastAsia="en-US" w:bidi="ar-SA"/>
              </w:rPr>
              <w:t>Score</w:t>
            </w:r>
          </w:p>
        </w:tc>
        <w:tc>
          <w:tcPr>
            <w:tcW w:w="4130"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Source class</w:t>
            </w:r>
          </w:p>
        </w:tc>
      </w:tr>
      <w:tr>
        <w:trPr>
          <w:cantSplit w:val="true"/>
        </w:trPr>
        <w:tc>
          <w:tcPr>
            <w:tcW w:w="55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90–100</w:t>
            </w:r>
          </w:p>
        </w:tc>
        <w:tc>
          <w:tcPr>
            <w:tcW w:w="413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Direct cryptographically verifiable or deterministic chain data</w:t>
            </w:r>
          </w:p>
        </w:tc>
      </w:tr>
      <w:tr>
        <w:trPr>
          <w:cantSplit w:val="true"/>
        </w:trPr>
        <w:tc>
          <w:tcPr>
            <w:tcW w:w="55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75–89</w:t>
            </w:r>
          </w:p>
        </w:tc>
        <w:tc>
          <w:tcPr>
            <w:tcW w:w="413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Open-source independent indexer with reproducible methodology</w:t>
            </w:r>
          </w:p>
        </w:tc>
      </w:tr>
      <w:tr>
        <w:trPr>
          <w:cantSplit w:val="true"/>
        </w:trPr>
        <w:tc>
          <w:tcPr>
            <w:tcW w:w="55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60–74</w:t>
            </w:r>
          </w:p>
        </w:tc>
        <w:tc>
          <w:tcPr>
            <w:tcW w:w="413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Transparent specialist or aggregator with documented inputs</w:t>
            </w:r>
          </w:p>
        </w:tc>
      </w:tr>
      <w:tr>
        <w:trPr>
          <w:cantSplit w:val="true"/>
        </w:trPr>
        <w:tc>
          <w:tcPr>
            <w:tcW w:w="55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40–59</w:t>
            </w:r>
          </w:p>
        </w:tc>
        <w:tc>
          <w:tcPr>
            <w:tcW w:w="413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Partially transparent provider or estimated classification</w:t>
            </w:r>
          </w:p>
        </w:tc>
      </w:tr>
      <w:tr>
        <w:trPr>
          <w:cantSplit w:val="true"/>
        </w:trPr>
        <w:tc>
          <w:tcPr>
            <w:tcW w:w="5507"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20–39</w:t>
            </w:r>
          </w:p>
        </w:tc>
        <w:tc>
          <w:tcPr>
            <w:tcW w:w="4130"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Opaque or single-party assertion with limited verification</w:t>
            </w:r>
          </w:p>
        </w:tc>
      </w:tr>
      <w:tr>
        <w:trPr>
          <w:cantSplit w:val="true"/>
        </w:trPr>
        <w:tc>
          <w:tcPr>
            <w:tcW w:w="5507"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end"/>
              <w:rPr>
                <w:rFonts w:cs=""/>
                <w:kern w:val="0"/>
                <w:szCs w:val="22"/>
                <w:lang w:val="en-GB" w:eastAsia="en-US" w:bidi="ar-SA"/>
              </w:rPr>
            </w:pPr>
            <w:r>
              <w:rPr>
                <w:rFonts w:cs=""/>
                <w:color w:val="232B31"/>
                <w:kern w:val="0"/>
                <w:sz w:val="16"/>
                <w:szCs w:val="22"/>
                <w:lang w:val="en-GB" w:eastAsia="en-US" w:bidi="ar-SA"/>
              </w:rPr>
              <w:t>0–19</w:t>
            </w:r>
          </w:p>
        </w:tc>
        <w:tc>
          <w:tcPr>
            <w:tcW w:w="4130"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Unverifiable, stale or materially disputed evidence</w:t>
            </w:r>
          </w:p>
        </w:tc>
      </w:tr>
    </w:tbl>
    <w:p>
      <w:pPr>
        <w:pStyle w:val="BodyText"/>
        <w:widowControl/>
        <w:rPr/>
      </w:pPr>
      <w:bookmarkStart w:id="680" w:name="f.1-source-quality-scale"/>
      <w:r>
        <w:rPr/>
        <w:t>The scale is guidance; the registry defines metric-specific requirements.</w:t>
      </w:r>
      <w:bookmarkEnd w:id="680"/>
    </w:p>
    <w:p>
      <w:pPr>
        <w:pStyle w:val="Heading2"/>
        <w:keepNext w:val="true"/>
        <w:keepLines/>
        <w:widowControl/>
        <w:rPr/>
      </w:pPr>
      <w:bookmarkStart w:id="681" w:name="__RefHeading___Toc8867_528838595"/>
      <w:bookmarkEnd w:id="681"/>
      <w:r>
        <w:rPr/>
        <w:t>F.2 Freshness decay</w:t>
      </w:r>
    </w:p>
    <w:p>
      <w:pPr>
        <w:pStyle w:val="Normal"/>
        <w:rPr/>
      </w:pPr>
      <w:r>
        <w:rPr/>
        <w:t>A metric may use a decay function after its freshness deadline d_0:</w:t>
      </w:r>
    </w:p>
    <w:p>
      <w:pPr>
        <w:pStyle w:val="BodyText"/>
        <w:keepLines/>
        <w:spacing w:before="80" w:after="160"/>
        <w:jc w:val="center"/>
        <w:rPr/>
      </w:pPr>
      <w:r>
        <w:rPr/>
        <w:drawing>
          <wp:inline distT="0" distB="0" distL="0" distR="0">
            <wp:extent cx="3949700" cy="337820"/>
            <wp:effectExtent l="0" t="0" r="0" b="0"/>
            <wp:docPr id="78" name="Picture 78" descr="\mathrm{FreshnessScore}(d)=100e^{-\lambda\max(0,d-d_0)}"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mathrm{FreshnessScore}(d)=100e^{-\lambda\max(0,d-d_0)}" title="Equation"/>
                    <pic:cNvPicPr>
                      <a:picLocks noChangeAspect="1" noChangeArrowheads="1"/>
                    </pic:cNvPicPr>
                  </pic:nvPicPr>
                  <pic:blipFill>
                    <a:blip r:embed="rId79"/>
                    <a:stretch>
                      <a:fillRect/>
                    </a:stretch>
                  </pic:blipFill>
                  <pic:spPr bwMode="auto">
                    <a:xfrm>
                      <a:off x="0" y="0"/>
                      <a:ext cx="3949700" cy="337820"/>
                    </a:xfrm>
                    <a:prstGeom prst="rect">
                      <a:avLst/>
                    </a:prstGeom>
                    <a:noFill/>
                  </pic:spPr>
                </pic:pic>
              </a:graphicData>
            </a:graphic>
          </wp:inline>
        </w:drawing>
      </w:r>
    </w:p>
    <w:p>
      <w:pPr>
        <w:pStyle w:val="Normal"/>
        <w:rPr/>
      </w:pPr>
      <w:r>
        <w:rPr/>
        <w:t>where d is age and λ is set by the registry. Critical incident data may have a much faster decay than annual legal documentation.</w:t>
      </w:r>
    </w:p>
    <w:p>
      <w:pPr>
        <w:pStyle w:val="Heading2"/>
        <w:keepNext w:val="true"/>
        <w:keepLines/>
        <w:widowControl/>
        <w:rPr/>
      </w:pPr>
      <w:bookmarkStart w:id="682" w:name="__RefHeading___Toc8869_528838595"/>
      <w:bookmarkEnd w:id="682"/>
      <w:r>
        <w:rPr/>
        <w:t>F.3 Cross-source consistency</w:t>
      </w:r>
    </w:p>
    <w:p>
      <w:pPr>
        <w:pStyle w:val="Normal"/>
        <w:rPr/>
      </w:pPr>
      <w:r>
        <w:rPr/>
        <w:t>For comparable observations x_1, …, x_n, relative dispersion may be measured using median absolute deviation:</w:t>
      </w:r>
    </w:p>
    <w:p>
      <w:pPr>
        <w:pStyle w:val="BodyText"/>
        <w:keepLines/>
        <w:spacing w:before="80" w:after="160"/>
        <w:jc w:val="center"/>
        <w:rPr/>
      </w:pPr>
      <w:r>
        <w:rPr/>
        <w:drawing>
          <wp:inline distT="0" distB="0" distL="0" distR="0">
            <wp:extent cx="3147695" cy="501650"/>
            <wp:effectExtent l="0" t="0" r="0" b="0"/>
            <wp:docPr id="79" name="Picture 79" descr="\mathrm{Dispersion}=\frac{\mathrm{median}\!\left(|x_i-\mathrm{median}(x)|\right)}{\max\!\left(|\mathrm{median}(x)|,\varepsilon\right)}" title="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mathrm{Dispersion}=\frac{\mathrm{median}\!\left(|x_i-\mathrm{median}(x)|\right)}{\max\!\left(|\mathrm{median}(x)|,\varepsilon\right)}" title="Equation"/>
                    <pic:cNvPicPr>
                      <a:picLocks noChangeAspect="1" noChangeArrowheads="1"/>
                    </pic:cNvPicPr>
                  </pic:nvPicPr>
                  <pic:blipFill>
                    <a:blip r:embed="rId80"/>
                    <a:stretch>
                      <a:fillRect/>
                    </a:stretch>
                  </pic:blipFill>
                  <pic:spPr bwMode="auto">
                    <a:xfrm>
                      <a:off x="0" y="0"/>
                      <a:ext cx="3147695" cy="501650"/>
                    </a:xfrm>
                    <a:prstGeom prst="rect">
                      <a:avLst/>
                    </a:prstGeom>
                    <a:noFill/>
                  </pic:spPr>
                </pic:pic>
              </a:graphicData>
            </a:graphic>
          </wp:inline>
        </w:drawing>
      </w:r>
    </w:p>
    <w:p>
      <w:pPr>
        <w:pStyle w:val="Normal"/>
        <w:rPr/>
      </w:pPr>
      <w:bookmarkStart w:id="683" w:name="f.3-cross-source-consistency"/>
      <w:r>
        <w:rPr/>
        <w:t>Unexplained dispersion reduces VCS and triggers reconciliation above a metric-specific threshold.</w:t>
      </w:r>
      <w:bookmarkEnd w:id="683"/>
    </w:p>
    <w:p>
      <w:pPr>
        <w:pStyle w:val="Heading2"/>
        <w:keepNext w:val="true"/>
        <w:keepLines/>
        <w:widowControl/>
        <w:rPr/>
      </w:pPr>
      <w:bookmarkStart w:id="684" w:name="__RefHeading___Toc8871_528838595"/>
      <w:bookmarkEnd w:id="684"/>
      <w:r>
        <w:rPr/>
        <w:t>F.4 Confidence inheritance</w:t>
      </w:r>
    </w:p>
    <w:p>
      <w:pPr>
        <w:pStyle w:val="Normal"/>
        <w:rPr/>
      </w:pPr>
      <w:bookmarkStart w:id="685" w:name="Xa8e24cb9481b5f498eb13c9747d11192aeb4750"/>
      <w:bookmarkStart w:id="686" w:name="f.4-confidence-inheritance"/>
      <w:r>
        <w:rPr/>
        <w:t>A parent index cannot have confidence higher than justified by its material sub-indices. Composite VCS considers all indices and critical dependencies. V-FOREX pair confidence generally inherits the lower network VCS and any additional pair-specific risk.</w:t>
      </w:r>
      <w:bookmarkEnd w:id="685"/>
      <w:bookmarkEnd w:id="686"/>
    </w:p>
    <w:p>
      <w:pPr>
        <w:pStyle w:val="Heading1"/>
        <w:keepNext w:val="true"/>
        <w:keepLines/>
        <w:widowControl/>
        <w:pBdr>
          <w:bottom w:val="single" w:sz="6" w:space="5" w:color="8AB2BF"/>
        </w:pBdr>
        <w:jc w:val="start"/>
        <w:rPr/>
      </w:pPr>
      <w:bookmarkStart w:id="687" w:name="__RefHeading___Toc8873_528838595"/>
      <w:bookmarkEnd w:id="687"/>
      <w:r>
        <w:rPr/>
        <w:t>Appendix G — Governance Proposal Template</w:t>
      </w:r>
    </w:p>
    <w:p>
      <w:pPr>
        <w:pStyle w:val="Normal"/>
        <w:rPr/>
      </w:pPr>
      <w:r>
        <w:rPr/>
        <w:t>Every formal proposal should contain:</w:t>
      </w:r>
    </w:p>
    <w:p>
      <w:pPr>
        <w:pStyle w:val="Compact"/>
        <w:widowControl/>
        <w:numPr>
          <w:ilvl w:val="0"/>
          <w:numId w:val="1519"/>
        </w:numPr>
        <w:rPr/>
      </w:pPr>
      <w:r>
        <w:rPr>
          <w:b/>
          <w:bCs/>
        </w:rPr>
        <w:t>Title and proposal class</w:t>
      </w:r>
    </w:p>
    <w:p>
      <w:pPr>
        <w:pStyle w:val="Compact"/>
        <w:widowControl/>
        <w:numPr>
          <w:ilvl w:val="0"/>
          <w:numId w:val="1520"/>
        </w:numPr>
        <w:rPr/>
      </w:pPr>
      <w:r>
        <w:rPr>
          <w:b/>
          <w:bCs/>
        </w:rPr>
        <w:t>Author and conflict disclosures</w:t>
      </w:r>
    </w:p>
    <w:p>
      <w:pPr>
        <w:pStyle w:val="Compact"/>
        <w:widowControl/>
        <w:numPr>
          <w:ilvl w:val="0"/>
          <w:numId w:val="1521"/>
        </w:numPr>
        <w:rPr/>
      </w:pPr>
      <w:r>
        <w:rPr>
          <w:b/>
          <w:bCs/>
        </w:rPr>
        <w:t>Problem statement</w:t>
      </w:r>
    </w:p>
    <w:p>
      <w:pPr>
        <w:pStyle w:val="Compact"/>
        <w:widowControl/>
        <w:numPr>
          <w:ilvl w:val="0"/>
          <w:numId w:val="1522"/>
        </w:numPr>
        <w:rPr/>
      </w:pPr>
      <w:r>
        <w:rPr>
          <w:b/>
          <w:bCs/>
        </w:rPr>
        <w:t>Current methodology or system state</w:t>
      </w:r>
    </w:p>
    <w:p>
      <w:pPr>
        <w:pStyle w:val="Compact"/>
        <w:widowControl/>
        <w:numPr>
          <w:ilvl w:val="0"/>
          <w:numId w:val="1523"/>
        </w:numPr>
        <w:rPr/>
      </w:pPr>
      <w:r>
        <w:rPr>
          <w:b/>
          <w:bCs/>
        </w:rPr>
        <w:t>Exact proposed change</w:t>
      </w:r>
    </w:p>
    <w:p>
      <w:pPr>
        <w:pStyle w:val="Compact"/>
        <w:widowControl/>
        <w:numPr>
          <w:ilvl w:val="0"/>
          <w:numId w:val="1524"/>
        </w:numPr>
        <w:rPr/>
      </w:pPr>
      <w:r>
        <w:rPr>
          <w:b/>
          <w:bCs/>
        </w:rPr>
        <w:t>Mathematical and configuration diff</w:t>
      </w:r>
    </w:p>
    <w:p>
      <w:pPr>
        <w:pStyle w:val="Compact"/>
        <w:widowControl/>
        <w:numPr>
          <w:ilvl w:val="0"/>
          <w:numId w:val="1525"/>
        </w:numPr>
        <w:rPr/>
      </w:pPr>
      <w:r>
        <w:rPr>
          <w:b/>
          <w:bCs/>
        </w:rPr>
        <w:t>Affected networks, metrics and dates</w:t>
      </w:r>
    </w:p>
    <w:p>
      <w:pPr>
        <w:pStyle w:val="Compact"/>
        <w:widowControl/>
        <w:numPr>
          <w:ilvl w:val="0"/>
          <w:numId w:val="1526"/>
        </w:numPr>
        <w:rPr/>
      </w:pPr>
      <w:r>
        <w:rPr>
          <w:b/>
          <w:bCs/>
        </w:rPr>
        <w:t>Data and research evidence</w:t>
      </w:r>
    </w:p>
    <w:p>
      <w:pPr>
        <w:pStyle w:val="Compact"/>
        <w:widowControl/>
        <w:numPr>
          <w:ilvl w:val="0"/>
          <w:numId w:val="1527"/>
        </w:numPr>
        <w:rPr/>
      </w:pPr>
      <w:r>
        <w:rPr>
          <w:b/>
          <w:bCs/>
        </w:rPr>
        <w:t>Historical backtest</w:t>
      </w:r>
    </w:p>
    <w:p>
      <w:pPr>
        <w:pStyle w:val="Compact"/>
        <w:widowControl/>
        <w:numPr>
          <w:ilvl w:val="0"/>
          <w:numId w:val="1528"/>
        </w:numPr>
        <w:rPr/>
      </w:pPr>
      <w:r>
        <w:rPr>
          <w:b/>
          <w:bCs/>
        </w:rPr>
        <w:t>Sensitivity and manipulation analysis</w:t>
      </w:r>
    </w:p>
    <w:p>
      <w:pPr>
        <w:pStyle w:val="Compact"/>
        <w:widowControl/>
        <w:numPr>
          <w:ilvl w:val="0"/>
          <w:numId w:val="1529"/>
        </w:numPr>
        <w:rPr/>
      </w:pPr>
      <w:r>
        <w:rPr>
          <w:b/>
          <w:bCs/>
        </w:rPr>
        <w:t>Security and legal implications</w:t>
      </w:r>
    </w:p>
    <w:p>
      <w:pPr>
        <w:pStyle w:val="Compact"/>
        <w:widowControl/>
        <w:numPr>
          <w:ilvl w:val="0"/>
          <w:numId w:val="1530"/>
        </w:numPr>
        <w:rPr/>
      </w:pPr>
      <w:r>
        <w:rPr>
          <w:b/>
          <w:bCs/>
        </w:rPr>
        <w:t>Migration, timelock and rollback</w:t>
      </w:r>
    </w:p>
    <w:p>
      <w:pPr>
        <w:pStyle w:val="Compact"/>
        <w:widowControl/>
        <w:numPr>
          <w:ilvl w:val="0"/>
          <w:numId w:val="1531"/>
        </w:numPr>
        <w:rPr/>
      </w:pPr>
      <w:r>
        <w:rPr>
          <w:b/>
          <w:bCs/>
        </w:rPr>
        <w:t>Plain-language summary</w:t>
      </w:r>
    </w:p>
    <w:p>
      <w:pPr>
        <w:pStyle w:val="Compact"/>
        <w:widowControl/>
        <w:numPr>
          <w:ilvl w:val="0"/>
          <w:numId w:val="1532"/>
        </w:numPr>
        <w:rPr/>
      </w:pPr>
      <w:r>
        <w:rPr>
          <w:b/>
          <w:bCs/>
        </w:rPr>
        <w:t>Reviewer reports</w:t>
      </w:r>
    </w:p>
    <w:p>
      <w:pPr>
        <w:pStyle w:val="Compact"/>
        <w:widowControl/>
        <w:numPr>
          <w:ilvl w:val="0"/>
          <w:numId w:val="1533"/>
        </w:numPr>
        <w:rPr/>
      </w:pPr>
      <w:bookmarkStart w:id="688" w:name="appendix-g-governance-proposal-template"/>
      <w:r>
        <w:rPr>
          <w:b/>
          <w:bCs/>
        </w:rPr>
        <w:t>Vote and execution record</w:t>
      </w:r>
      <w:bookmarkEnd w:id="688"/>
    </w:p>
    <w:p>
      <w:pPr>
        <w:pStyle w:val="Heading1"/>
        <w:keepNext w:val="true"/>
        <w:keepLines/>
        <w:widowControl/>
        <w:pBdr>
          <w:bottom w:val="single" w:sz="6" w:space="5" w:color="8AB2BF"/>
        </w:pBdr>
        <w:jc w:val="start"/>
        <w:rPr/>
      </w:pPr>
      <w:bookmarkStart w:id="689" w:name="__RefHeading___Toc8875_528838595"/>
      <w:bookmarkEnd w:id="689"/>
      <w:r>
        <w:rPr/>
        <w:t>Appendix H — Public API Reproduction Example</w:t>
      </w:r>
    </w:p>
    <w:p>
      <w:pPr>
        <w:pStyle w:val="Normal"/>
        <w:rPr/>
      </w:pPr>
      <w:r>
        <w:rPr/>
        <w:t>A complete reproduction workflow is:</w:t>
      </w:r>
    </w:p>
    <w:p>
      <w:pPr>
        <w:pStyle w:val="Compact"/>
        <w:widowControl/>
        <w:numPr>
          <w:ilvl w:val="0"/>
          <w:numId w:val="1534"/>
        </w:numPr>
        <w:rPr/>
      </w:pPr>
      <w:r>
        <w:rPr/>
        <w:t>request the score snapshot manifest;</w:t>
      </w:r>
    </w:p>
    <w:p>
      <w:pPr>
        <w:pStyle w:val="Compact"/>
        <w:widowControl/>
        <w:numPr>
          <w:ilvl w:val="0"/>
          <w:numId w:val="1535"/>
        </w:numPr>
        <w:rPr/>
      </w:pPr>
      <w:r>
        <w:rPr/>
        <w:t>download referenced raw observation packages;</w:t>
      </w:r>
    </w:p>
    <w:p>
      <w:pPr>
        <w:pStyle w:val="Compact"/>
        <w:widowControl/>
        <w:numPr>
          <w:ilvl w:val="0"/>
          <w:numId w:val="1536"/>
        </w:numPr>
        <w:rPr/>
      </w:pPr>
      <w:r>
        <w:rPr/>
        <w:t>verify source, query and file hashes;</w:t>
      </w:r>
    </w:p>
    <w:p>
      <w:pPr>
        <w:pStyle w:val="Compact"/>
        <w:widowControl/>
        <w:numPr>
          <w:ilvl w:val="0"/>
          <w:numId w:val="1537"/>
        </w:numPr>
        <w:rPr/>
      </w:pPr>
      <w:r>
        <w:rPr/>
        <w:t>check adapter and framework code commits;</w:t>
      </w:r>
    </w:p>
    <w:p>
      <w:pPr>
        <w:pStyle w:val="Compact"/>
        <w:widowControl/>
        <w:numPr>
          <w:ilvl w:val="0"/>
          <w:numId w:val="1538"/>
        </w:numPr>
        <w:rPr/>
      </w:pPr>
      <w:r>
        <w:rPr/>
        <w:t>build the published reproducible environment;</w:t>
      </w:r>
    </w:p>
    <w:p>
      <w:pPr>
        <w:pStyle w:val="Compact"/>
        <w:widowControl/>
        <w:numPr>
          <w:ilvl w:val="0"/>
          <w:numId w:val="1539"/>
        </w:numPr>
        <w:rPr/>
      </w:pPr>
      <w:r>
        <w:rPr/>
        <w:t>execute transformations and normalisation;</w:t>
      </w:r>
    </w:p>
    <w:p>
      <w:pPr>
        <w:pStyle w:val="Compact"/>
        <w:widowControl/>
        <w:numPr>
          <w:ilvl w:val="0"/>
          <w:numId w:val="1540"/>
        </w:numPr>
        <w:rPr/>
      </w:pPr>
      <w:r>
        <w:rPr/>
        <w:t>compare calculated indices and manifests;</w:t>
      </w:r>
    </w:p>
    <w:p>
      <w:pPr>
        <w:pStyle w:val="Compact"/>
        <w:widowControl/>
        <w:numPr>
          <w:ilvl w:val="0"/>
          <w:numId w:val="1541"/>
        </w:numPr>
        <w:rPr/>
      </w:pPr>
      <w:r>
        <w:rPr/>
        <w:t>verify signatures and publication timestamp;</w:t>
      </w:r>
    </w:p>
    <w:p>
      <w:pPr>
        <w:pStyle w:val="Compact"/>
        <w:widowControl/>
        <w:numPr>
          <w:ilvl w:val="0"/>
          <w:numId w:val="1542"/>
        </w:numPr>
        <w:rPr/>
      </w:pPr>
      <w:r>
        <w:rPr/>
        <w:t>report any mismatch through the dispute endpoint.</w:t>
      </w:r>
    </w:p>
    <w:p>
      <w:pPr>
        <w:pStyle w:val="Normal"/>
        <w:rPr/>
      </w:pPr>
      <w:bookmarkStart w:id="690" w:name="Xbf92c8edc99752c81e4c8690fb4038d7cd17f17"/>
      <w:r>
        <w:rPr/>
        <w:t>A reproduction is successful only when all intermediate and final values agree within the declared precision.</w:t>
      </w:r>
      <w:bookmarkEnd w:id="690"/>
    </w:p>
    <w:p>
      <w:pPr>
        <w:pStyle w:val="Heading1"/>
        <w:keepNext w:val="true"/>
        <w:keepLines/>
        <w:widowControl/>
        <w:pBdr>
          <w:bottom w:val="single" w:sz="6" w:space="5" w:color="8AB2BF"/>
        </w:pBdr>
        <w:jc w:val="start"/>
        <w:rPr/>
      </w:pPr>
      <w:bookmarkStart w:id="691" w:name="__RefHeading___Toc8877_528838595"/>
      <w:bookmarkEnd w:id="691"/>
      <w:r>
        <w:rPr/>
        <w:t>Appendix I — Comparison with Traditional Economic and Financial Measures</w:t>
      </w:r>
    </w:p>
    <w:p>
      <w:pPr>
        <w:pStyle w:val="Normal"/>
        <w:rPr/>
      </w:pPr>
      <w:r>
        <w:rPr/>
        <w:t>Voxonomics draws analogies to traditional measures but does not claim exact equivalence.</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Traditional concept</w:t>
            </w:r>
          </w:p>
        </w:tc>
        <w:tc>
          <w:tcPr>
            <w:tcW w:w="321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Voxonomics analogue</w:t>
            </w:r>
          </w:p>
        </w:tc>
        <w:tc>
          <w:tcPr>
            <w:tcW w:w="3213"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Important difference</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GDP or economic output</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PoV</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On-chain output is not national production and may include financial rotation</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Labour-force participation</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OPI</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Participants may use multiple networks and are not citizens</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Market liquidity and financial depth</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DLI</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Liquidity is programmable, global and exposed to smart-contract risk</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Institutional quality and credit integrity</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PII</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Protocol rules are technical and decentralisation varies by layer</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Trade and real-economy integration</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RWAI</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External claims depend on issuers, custody and legal bridges</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Foreign reserves and shock capacity</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ERI</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Resilience includes code, validators, liquidity and treasury resources</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Exchange rate</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V-FOREX reference</w:t>
            </w:r>
          </w:p>
        </w:tc>
        <w:tc>
          <w:tcPr>
            <w:tcW w:w="3213"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 reference ratio is not a sovereign currency market or guaranteed price</w:t>
            </w:r>
          </w:p>
        </w:tc>
      </w:tr>
      <w:tr>
        <w:trPr>
          <w:cantSplit w:val="true"/>
        </w:trPr>
        <w:tc>
          <w:tcPr>
            <w:tcW w:w="3212"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Credit rating</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VRS/VCS combination</w:t>
            </w:r>
          </w:p>
        </w:tc>
        <w:tc>
          <w:tcPr>
            <w:tcW w:w="3213"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VRS measures risk; VCS measures evidence quality; neither is a legal rating</w:t>
            </w:r>
          </w:p>
        </w:tc>
      </w:tr>
    </w:tbl>
    <w:p>
      <w:pPr>
        <w:pStyle w:val="BodyText"/>
        <w:widowControl/>
        <w:rPr/>
      </w:pPr>
      <w:bookmarkStart w:id="692" w:name="X52c68128395ead1e714efd439ca0848ac9e0b70"/>
      <w:r>
        <w:rPr/>
        <w:t>Traditional macroeconomic data can be delayed, revised and institutionally interpreted. Blockchain data can be timely and transparent but may be pseudonymous, economically ambiguous and technically complex. Neither domain is free from measurement error.</w:t>
      </w:r>
      <w:bookmarkEnd w:id="692"/>
    </w:p>
    <w:p>
      <w:pPr>
        <w:pStyle w:val="Heading1"/>
        <w:keepNext w:val="true"/>
        <w:keepLines/>
        <w:widowControl/>
        <w:pBdr>
          <w:bottom w:val="single" w:sz="6" w:space="5" w:color="8AB2BF"/>
        </w:pBdr>
        <w:jc w:val="start"/>
        <w:rPr/>
      </w:pPr>
      <w:bookmarkStart w:id="693" w:name="__RefHeading___Toc8879_528838595"/>
      <w:bookmarkStart w:id="694" w:name="appendix-j-glossary"/>
      <w:bookmarkEnd w:id="693"/>
      <w:r>
        <w:rPr/>
        <w:t>Appendix J — Glossary</w:t>
      </w:r>
    </w:p>
    <w:p>
      <w:pPr>
        <w:pStyle w:val="Normal"/>
        <w:rPr/>
      </w:pPr>
      <w:r>
        <w:rPr>
          <w:b/>
          <w:bCs/>
        </w:rPr>
        <w:t>Adapter:</w:t>
      </w:r>
      <w:r>
        <w:rPr/>
        <w:t xml:space="preserve"> Chain-specific software and rules that map public data to canonical Voxonomics metric definitions.</w:t>
      </w:r>
    </w:p>
    <w:p>
      <w:pPr>
        <w:pStyle w:val="BodyText"/>
        <w:widowControl/>
        <w:rPr/>
      </w:pPr>
      <w:r>
        <w:rPr>
          <w:b/>
          <w:bCs/>
        </w:rPr>
        <w:t>Canonical scope:</w:t>
      </w:r>
      <w:r>
        <w:rPr/>
        <w:t xml:space="preserve"> The precise network, execution, settlement and asset boundaries included in a calculation.</w:t>
      </w:r>
    </w:p>
    <w:p>
      <w:pPr>
        <w:pStyle w:val="BodyText"/>
        <w:widowControl/>
        <w:rPr/>
      </w:pPr>
      <w:r>
        <w:rPr>
          <w:b/>
          <w:bCs/>
        </w:rPr>
        <w:t>DLI:</w:t>
      </w:r>
      <w:r>
        <w:rPr/>
        <w:t xml:space="preserve"> Decentralised Liquidity Index; measurement of executable, diversified and resilient on-chain liquidity.</w:t>
      </w:r>
    </w:p>
    <w:p>
      <w:pPr>
        <w:pStyle w:val="BodyText"/>
        <w:widowControl/>
        <w:rPr/>
      </w:pPr>
      <w:r>
        <w:rPr>
          <w:b/>
          <w:bCs/>
        </w:rPr>
        <w:t>Economic Reference Unit (ERU):</w:t>
      </w:r>
      <w:r>
        <w:rPr/>
        <w:t xml:space="preserve"> Dynamic benchmark that defines the published 1.000000 reference level.</w:t>
      </w:r>
    </w:p>
    <w:p>
      <w:pPr>
        <w:pStyle w:val="BodyText"/>
        <w:widowControl/>
        <w:rPr/>
      </w:pPr>
      <w:r>
        <w:rPr>
          <w:b/>
          <w:bCs/>
        </w:rPr>
        <w:t>ERI:</w:t>
      </w:r>
      <w:r>
        <w:rPr/>
        <w:t xml:space="preserve"> Economic Resilience Index; measurement of shock retention and recovery.</w:t>
      </w:r>
    </w:p>
    <w:p>
      <w:pPr>
        <w:pStyle w:val="BodyText"/>
        <w:widowControl/>
        <w:rPr/>
      </w:pPr>
      <w:r>
        <w:rPr>
          <w:b/>
          <w:bCs/>
        </w:rPr>
        <w:t>Opportunity Gap:</w:t>
      </w:r>
      <w:r>
        <w:rPr/>
        <w:t xml:space="preserve"> Difference between VTS and VRI.</w:t>
      </w:r>
    </w:p>
    <w:p>
      <w:pPr>
        <w:pStyle w:val="BodyText"/>
        <w:widowControl/>
        <w:rPr/>
      </w:pPr>
      <w:r>
        <w:rPr>
          <w:b/>
          <w:bCs/>
        </w:rPr>
        <w:t>OPI:</w:t>
      </w:r>
      <w:r>
        <w:rPr/>
        <w:t xml:space="preserve"> On-Chain Participation Index; measurement of productive participant breadth and retention.</w:t>
      </w:r>
    </w:p>
    <w:p>
      <w:pPr>
        <w:pStyle w:val="BodyText"/>
        <w:widowControl/>
        <w:rPr/>
      </w:pPr>
      <w:r>
        <w:rPr>
          <w:b/>
          <w:bCs/>
        </w:rPr>
        <w:t>PII:</w:t>
      </w:r>
      <w:r>
        <w:rPr/>
        <w:t xml:space="preserve"> Protocol Integrity Index; measurement of security, decentralisation, availability and upgrade integrity.</w:t>
      </w:r>
    </w:p>
    <w:p>
      <w:pPr>
        <w:pStyle w:val="BodyText"/>
        <w:widowControl/>
        <w:rPr/>
      </w:pPr>
      <w:r>
        <w:rPr>
          <w:b/>
          <w:bCs/>
        </w:rPr>
        <w:t>PoV:</w:t>
      </w:r>
      <w:r>
        <w:rPr/>
        <w:t xml:space="preserve"> Proof of Value; measurement of economic output, demand and sustainable value capture.</w:t>
      </w:r>
    </w:p>
    <w:p>
      <w:pPr>
        <w:pStyle w:val="BodyText"/>
        <w:widowControl/>
        <w:rPr/>
      </w:pPr>
      <w:r>
        <w:rPr>
          <w:b/>
          <w:bCs/>
        </w:rPr>
        <w:t>Publication status:</w:t>
      </w:r>
      <w:r>
        <w:rPr/>
        <w:t xml:space="preserve"> Confidence-based category determining whether a score is official, provisional, experimental or withheld.</w:t>
      </w:r>
    </w:p>
    <w:p>
      <w:pPr>
        <w:pStyle w:val="BodyText"/>
        <w:widowControl/>
        <w:rPr/>
      </w:pPr>
      <w:r>
        <w:rPr>
          <w:b/>
          <w:bCs/>
        </w:rPr>
        <w:t>RWAI:</w:t>
      </w:r>
      <w:r>
        <w:rPr/>
        <w:t xml:space="preserve"> Real-World Adoption Index; measurement of verifiable external settlement, payments, tokenised assets and adoption.</w:t>
      </w:r>
    </w:p>
    <w:p>
      <w:pPr>
        <w:pStyle w:val="BodyText"/>
        <w:widowControl/>
        <w:rPr/>
      </w:pPr>
      <w:r>
        <w:rPr>
          <w:b/>
          <w:bCs/>
        </w:rPr>
        <w:t>Value Recognition Index (VRI):</w:t>
      </w:r>
      <w:r>
        <w:rPr/>
        <w:t xml:space="preserve"> Standardised measure of market recognition relative to network fundamentals.</w:t>
      </w:r>
    </w:p>
    <w:p>
      <w:pPr>
        <w:pStyle w:val="BodyText"/>
        <w:widowControl/>
        <w:rPr/>
      </w:pPr>
      <w:r>
        <w:rPr>
          <w:b/>
          <w:bCs/>
        </w:rPr>
        <w:t>Value Transfer Score (VTS):</w:t>
      </w:r>
      <w:r>
        <w:rPr/>
        <w:t xml:space="preserve"> Equal-weight intrinsic network economic measurement, standardised against ERU.</w:t>
      </w:r>
    </w:p>
    <w:p>
      <w:pPr>
        <w:pStyle w:val="BodyText"/>
        <w:widowControl/>
        <w:rPr/>
      </w:pPr>
      <w:r>
        <w:rPr>
          <w:b/>
          <w:bCs/>
        </w:rPr>
        <w:t>VOX:</w:t>
      </w:r>
      <w:r>
        <w:rPr/>
        <w:t xml:space="preserve"> Analytical or optionally tokenised network-specific unit indexed to VTS under the Voxonomics standard.</w:t>
      </w:r>
    </w:p>
    <w:p>
      <w:pPr>
        <w:pStyle w:val="BodyText"/>
        <w:widowControl/>
        <w:rPr/>
      </w:pPr>
      <w:r>
        <w:rPr>
          <w:b/>
          <w:bCs/>
        </w:rPr>
        <w:t>VOX Confidence Score (VCS):</w:t>
      </w:r>
      <w:r>
        <w:rPr/>
        <w:t xml:space="preserve"> Measure of data, source, adapter and model confidence.</w:t>
      </w:r>
    </w:p>
    <w:p>
      <w:pPr>
        <w:pStyle w:val="BodyText"/>
        <w:widowControl/>
        <w:rPr/>
      </w:pPr>
      <w:r>
        <w:rPr>
          <w:b/>
          <w:bCs/>
        </w:rPr>
        <w:t>VOX DAO:</w:t>
      </w:r>
      <w:r>
        <w:rPr/>
        <w:t xml:space="preserve"> The single decentralised governance system responsible for the global Voxonomics standard.</w:t>
      </w:r>
    </w:p>
    <w:p>
      <w:pPr>
        <w:pStyle w:val="BodyText"/>
        <w:widowControl/>
        <w:rPr/>
      </w:pPr>
      <w:r>
        <w:rPr>
          <w:b/>
          <w:bCs/>
        </w:rPr>
        <w:t>VOX Risk Score (VRS):</w:t>
      </w:r>
      <w:r>
        <w:rPr/>
        <w:t xml:space="preserve"> Aggregate structural risk score, where a higher value indicates greater risk.</w:t>
      </w:r>
    </w:p>
    <w:p>
      <w:pPr>
        <w:pStyle w:val="BodyText"/>
        <w:widowControl/>
        <w:rPr/>
      </w:pPr>
      <w:r>
        <w:rPr>
          <w:b/>
          <w:bCs/>
        </w:rPr>
        <w:t>V-FOREX:</w:t>
      </w:r>
      <w:r>
        <w:rPr/>
        <w:t xml:space="preserve"> Cross-network reference and optional market system based on VTS ratios.</w:t>
      </w:r>
      <w:bookmarkEnd w:id="694"/>
    </w:p>
    <w:p>
      <w:pPr>
        <w:pStyle w:val="Heading1"/>
        <w:keepNext w:val="true"/>
        <w:keepLines/>
        <w:widowControl/>
        <w:pBdr>
          <w:bottom w:val="single" w:sz="6" w:space="5" w:color="8AB2BF"/>
        </w:pBdr>
        <w:jc w:val="start"/>
        <w:rPr/>
      </w:pPr>
      <w:bookmarkStart w:id="695" w:name="__RefHeading___Toc8881_528838595"/>
      <w:bookmarkEnd w:id="695"/>
      <w:r>
        <w:rPr/>
        <w:t>Appendix K — References</w:t>
      </w:r>
    </w:p>
    <w:p>
      <w:pPr>
        <w:pStyle w:val="Compact"/>
        <w:widowControl/>
        <w:numPr>
          <w:ilvl w:val="0"/>
          <w:numId w:val="1543"/>
        </w:numPr>
        <w:rPr/>
      </w:pPr>
      <w:r>
        <w:rPr/>
        <w:t xml:space="preserve">Nakamoto, S. </w:t>
      </w:r>
      <w:r>
        <w:rPr>
          <w:i/>
          <w:iCs/>
        </w:rPr>
        <w:t>Bitcoin: A Peer-to-Peer Electronic Cash System</w:t>
      </w:r>
      <w:r>
        <w:rPr/>
        <w:t>. Bitcoin.org, 2008. https://bitcoin.org/bitcoin.pdf</w:t>
      </w:r>
    </w:p>
    <w:p>
      <w:pPr>
        <w:pStyle w:val="Compact"/>
        <w:widowControl/>
        <w:numPr>
          <w:ilvl w:val="0"/>
          <w:numId w:val="1544"/>
        </w:numPr>
        <w:rPr/>
      </w:pPr>
      <w:r>
        <w:rPr/>
        <w:t xml:space="preserve">Wood, G. </w:t>
      </w:r>
      <w:r>
        <w:rPr>
          <w:i/>
          <w:iCs/>
        </w:rPr>
        <w:t>Ethereum: A Secure Decentralised Generalised Transaction Ledger — Yellow Paper</w:t>
      </w:r>
      <w:r>
        <w:rPr/>
        <w:t>. Ethereum Project. https://github.com/ethereum/yellowpaper</w:t>
      </w:r>
    </w:p>
    <w:p>
      <w:pPr>
        <w:pStyle w:val="Compact"/>
        <w:widowControl/>
        <w:numPr>
          <w:ilvl w:val="0"/>
          <w:numId w:val="1545"/>
        </w:numPr>
        <w:rPr/>
      </w:pPr>
      <w:r>
        <w:rPr/>
        <w:t xml:space="preserve">DefiLlama. </w:t>
      </w:r>
      <w:r>
        <w:rPr>
          <w:i/>
          <w:iCs/>
        </w:rPr>
        <w:t>Methodology and Open-Source Adapters</w:t>
      </w:r>
      <w:r>
        <w:rPr/>
        <w:t>. https://docs.llama.fi/ and https://github.com/DefiLlama/DefiLlama-Adapters</w:t>
      </w:r>
    </w:p>
    <w:p>
      <w:pPr>
        <w:pStyle w:val="Compact"/>
        <w:widowControl/>
        <w:numPr>
          <w:ilvl w:val="0"/>
          <w:numId w:val="1546"/>
        </w:numPr>
        <w:rPr/>
      </w:pPr>
      <w:r>
        <w:rPr/>
        <w:t xml:space="preserve">The Graph. </w:t>
      </w:r>
      <w:r>
        <w:rPr>
          <w:i/>
          <w:iCs/>
        </w:rPr>
        <w:t>Documentation: Subgraphs and Blockchain Data Indexing</w:t>
      </w:r>
      <w:r>
        <w:rPr/>
        <w:t>. https://thegraph.com/docs/</w:t>
      </w:r>
    </w:p>
    <w:p>
      <w:pPr>
        <w:pStyle w:val="Compact"/>
        <w:widowControl/>
        <w:numPr>
          <w:ilvl w:val="0"/>
          <w:numId w:val="1547"/>
        </w:numPr>
        <w:rPr/>
      </w:pPr>
      <w:r>
        <w:rPr/>
        <w:t xml:space="preserve">CoinGecko. </w:t>
      </w:r>
      <w:r>
        <w:rPr>
          <w:i/>
          <w:iCs/>
        </w:rPr>
        <w:t>API and On-Chain Data Documentation</w:t>
      </w:r>
      <w:r>
        <w:rPr/>
        <w:t>. https://docs.coingecko.com/</w:t>
      </w:r>
    </w:p>
    <w:p>
      <w:pPr>
        <w:pStyle w:val="Compact"/>
        <w:widowControl/>
        <w:numPr>
          <w:ilvl w:val="0"/>
          <w:numId w:val="1548"/>
        </w:numPr>
        <w:rPr/>
      </w:pPr>
      <w:r>
        <w:rPr/>
        <w:t xml:space="preserve">Chainlink. </w:t>
      </w:r>
      <w:r>
        <w:rPr>
          <w:i/>
          <w:iCs/>
        </w:rPr>
        <w:t>Data Feeds and Decentralised Data Model Documentation</w:t>
      </w:r>
      <w:r>
        <w:rPr/>
        <w:t>. https://docs.chain.link/data-feeds</w:t>
      </w:r>
    </w:p>
    <w:p>
      <w:pPr>
        <w:pStyle w:val="Compact"/>
        <w:widowControl/>
        <w:numPr>
          <w:ilvl w:val="0"/>
          <w:numId w:val="1549"/>
        </w:numPr>
        <w:rPr/>
      </w:pPr>
      <w:r>
        <w:rPr/>
        <w:t xml:space="preserve">Solana Foundation. </w:t>
      </w:r>
      <w:r>
        <w:rPr>
          <w:i/>
          <w:iCs/>
        </w:rPr>
        <w:t>Solana RPC Methods</w:t>
      </w:r>
      <w:r>
        <w:rPr/>
        <w:t>. https://solana.com/docs/rpc</w:t>
      </w:r>
    </w:p>
    <w:p>
      <w:pPr>
        <w:pStyle w:val="Compact"/>
        <w:widowControl/>
        <w:numPr>
          <w:ilvl w:val="0"/>
          <w:numId w:val="1550"/>
        </w:numPr>
        <w:rPr/>
      </w:pPr>
      <w:r>
        <w:rPr/>
        <w:t xml:space="preserve">Cosmos. </w:t>
      </w:r>
      <w:r>
        <w:rPr>
          <w:i/>
          <w:iCs/>
        </w:rPr>
        <w:t>Cosmos SDK Documentation</w:t>
      </w:r>
      <w:r>
        <w:rPr/>
        <w:t>. https://docs.cosmos.network/</w:t>
      </w:r>
    </w:p>
    <w:p>
      <w:pPr>
        <w:pStyle w:val="Compact"/>
        <w:widowControl/>
        <w:numPr>
          <w:ilvl w:val="0"/>
          <w:numId w:val="1551"/>
        </w:numPr>
        <w:rPr/>
      </w:pPr>
      <w:r>
        <w:rPr>
          <w:rFonts w:ascii="Aptos" w:hAnsi="Aptos"/>
        </w:rPr>
        <w:t>Lin, Q., Li, C., Zhao, X. and Chen, X. “Measuring Decentralization in Bitcoin and Ethereum Using Multiple Metrics and Granularities.” 2021 IEEE 37th International Conference on Data Engineering Workshops (ICDEW), pp. 80–87. doi:10.1109/ICDEW53142.2021.00022.</w:t>
      </w:r>
    </w:p>
    <w:p>
      <w:pPr>
        <w:pStyle w:val="Compact"/>
        <w:widowControl/>
        <w:numPr>
          <w:ilvl w:val="0"/>
          <w:numId w:val="1552"/>
        </w:numPr>
        <w:rPr/>
      </w:pPr>
      <w:r>
        <w:rPr>
          <w:rFonts w:ascii="Aptos" w:hAnsi="Aptos"/>
        </w:rPr>
        <w:t>Ovezik, C., Karakostas, D., Milad, M., Kiayias, A. and Woods, D. W. “SoK: Measuring Blockchain Decentralization.” arXiv:2501.18279, 2025.</w:t>
      </w:r>
    </w:p>
    <w:p>
      <w:pPr>
        <w:pStyle w:val="Compact"/>
        <w:widowControl/>
        <w:numPr>
          <w:ilvl w:val="0"/>
          <w:numId w:val="1553"/>
        </w:numPr>
        <w:rPr/>
      </w:pPr>
      <w:r>
        <w:rPr>
          <w:rFonts w:ascii="Aptos" w:hAnsi="Aptos"/>
        </w:rPr>
        <w:t>Bank for International Settlements and Committee on Payments and Market Infrastructures. Tokenisation in the Context of Money and Other Assets: Concepts and Implications for Central Banks. CPMI Papers No. 225, October 2024.</w:t>
      </w:r>
    </w:p>
    <w:p>
      <w:pPr>
        <w:pStyle w:val="Compact"/>
        <w:widowControl/>
        <w:numPr>
          <w:ilvl w:val="0"/>
          <w:numId w:val="1554"/>
        </w:numPr>
        <w:rPr/>
      </w:pPr>
      <w:r>
        <w:rPr>
          <w:rFonts w:ascii="Aptos" w:hAnsi="Aptos"/>
        </w:rPr>
        <w:t>Bank for International Settlements. Annual Economic Report 2026, Chapter III: “Anchoring Trust in Money: Innovation Beyond Stablecoins.” June 2026.</w:t>
      </w:r>
    </w:p>
    <w:p>
      <w:pPr>
        <w:pStyle w:val="Compact"/>
        <w:widowControl/>
        <w:numPr>
          <w:ilvl w:val="0"/>
          <w:numId w:val="1555"/>
        </w:numPr>
        <w:rPr/>
      </w:pPr>
      <w:r>
        <w:rPr>
          <w:rFonts w:ascii="Aptos" w:hAnsi="Aptos"/>
        </w:rPr>
        <w:t>Adrian, T. and Mancini-Griffoli, T. The Rise of Digital Money. IMF FinTech Note 19/01, International Monetary Fund, 2019.</w:t>
      </w:r>
    </w:p>
    <w:p>
      <w:pPr>
        <w:pStyle w:val="Compact"/>
        <w:widowControl/>
        <w:numPr>
          <w:ilvl w:val="0"/>
          <w:numId w:val="1556"/>
        </w:numPr>
        <w:rPr/>
      </w:pPr>
      <w:r>
        <w:rPr>
          <w:rFonts w:ascii="Aptos" w:hAnsi="Aptos"/>
        </w:rPr>
        <w:t>Adrian, T., Garratt, R. and He, D. Trust Bridges and Money Flows: A Digital Marketplace to Improve Cross-Border Payments. IMF FinTech Note 2023/001, International Monetary Fund, 2023. doi:10.5089/9798400227073.063.</w:t>
      </w:r>
    </w:p>
    <w:p>
      <w:pPr>
        <w:pStyle w:val="Compact"/>
        <w:widowControl/>
        <w:numPr>
          <w:ilvl w:val="0"/>
          <w:numId w:val="1557"/>
        </w:numPr>
        <w:rPr/>
      </w:pPr>
      <w:r>
        <w:rPr>
          <w:rFonts w:ascii="Aptos" w:hAnsi="Aptos"/>
        </w:rPr>
        <w:t>National Institute of Standards and Technology. The NIST Cybersecurity Framework (CSF) 2.0, NIST CSWP 29, 2024; and Secure Software Development Framework (SSDF), NIST SP 800-218, 2022.</w:t>
      </w:r>
    </w:p>
    <w:p>
      <w:pPr>
        <w:pStyle w:val="Compact"/>
        <w:widowControl/>
        <w:numPr>
          <w:ilvl w:val="0"/>
          <w:numId w:val="1558"/>
        </w:numPr>
        <w:rPr/>
      </w:pPr>
      <w:r>
        <w:rPr>
          <w:rFonts w:ascii="Aptos" w:hAnsi="Aptos"/>
        </w:rPr>
        <w:t>International Organization for Standardization. ISO 8000 data-quality standards; ISO 31000:2018 Risk Management — Guidelines; and ISO/IEC 27001:2022 Information Security Management Systems.</w:t>
      </w:r>
    </w:p>
    <w:p>
      <w:pPr>
        <w:pStyle w:val="Normal"/>
        <w:rPr/>
      </w:pPr>
      <w:bookmarkStart w:id="696" w:name="appendix-k-references"/>
      <w:r>
        <w:rPr/>
        <w:t>References provide technical and economic context. Inclusion does not imply endorsement of Voxonomics by the referenced organisations.</w:t>
      </w:r>
      <w:bookmarkEnd w:id="696"/>
    </w:p>
    <w:p>
      <w:pPr>
        <w:pStyle w:val="Heading1"/>
        <w:keepNext w:val="true"/>
        <w:keepLines/>
        <w:widowControl/>
        <w:pBdr>
          <w:bottom w:val="single" w:sz="6" w:space="5" w:color="8AB2BF"/>
        </w:pBdr>
        <w:jc w:val="start"/>
        <w:rPr/>
      </w:pPr>
      <w:bookmarkStart w:id="697" w:name="__RefHeading___Toc8883_528838595"/>
      <w:bookmarkEnd w:id="697"/>
      <w:r>
        <w:rPr/>
        <w:t>Appendix L — Edition 3.1 Change Log</w:t>
      </w:r>
    </w:p>
    <w:p>
      <w:pPr>
        <w:pStyle w:val="Normal"/>
        <w:rPr/>
      </w:pPr>
      <w:r>
        <w:rPr/>
        <w:t>Edition 3.1 replaces the prior five-index trust-model draft and resolves its material inconsistencies.</w:t>
      </w:r>
    </w:p>
    <w:tbl>
      <w:tblPr>
        <w:tblStyle w:val="Table"/>
        <w:tblW w:w="5000" w:type="pct"/>
        <w:jc w:val="center"/>
        <w:tblInd w:w="0" w:type="dxa"/>
        <w:tblLayout w:type="fixed"/>
        <w:tblCellMar>
          <w:top w:w="80" w:type="dxa"/>
          <w:start w:w="100" w:type="dxa"/>
          <w:bottom w:w="80" w:type="dxa"/>
          <w:end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Area</w:t>
            </w:r>
          </w:p>
        </w:tc>
        <w:tc>
          <w:tcPr>
            <w:tcW w:w="4819" w:type="dxa"/>
            <w:tcBorders>
              <w:top w:val="single" w:sz="4" w:space="0" w:color="C9D7DE"/>
              <w:start w:val="single" w:sz="4" w:space="0" w:color="C9D7DE"/>
              <w:bottom w:val="single" w:sz="4" w:space="0" w:color="C9D7DE"/>
              <w:end w:val="single" w:sz="4" w:space="0" w:color="C9D7DE"/>
            </w:tcBorders>
            <w:shd w:fill="173B57"/>
            <w:vAlign w:val="center"/>
          </w:tcPr>
          <w:p>
            <w:pPr>
              <w:pStyle w:val="Compact"/>
              <w:widowControl/>
              <w:suppressAutoHyphens w:val="true"/>
              <w:spacing w:lineRule="auto" w:line="240" w:before="20" w:after="40"/>
              <w:jc w:val="start"/>
              <w:rPr>
                <w:rFonts w:cs=""/>
                <w:kern w:val="0"/>
                <w:szCs w:val="22"/>
                <w:lang w:val="en-GB" w:eastAsia="en-US" w:bidi="ar-SA"/>
              </w:rPr>
            </w:pPr>
            <w:r>
              <w:rPr>
                <w:rFonts w:cs=""/>
                <w:b/>
                <w:color w:val="FFFFFF"/>
                <w:kern w:val="0"/>
                <w:sz w:val="16"/>
                <w:szCs w:val="22"/>
                <w:lang w:val="en-GB" w:eastAsia="en-US" w:bidi="ar-SA"/>
              </w:rPr>
              <w:t>Edition 3.1 resolution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Core indices</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Replaced five-index model with PoV, OPI, DLI, PII, RWAI and ERI</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Parent weights</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Fixed all six parent indices at equal weight</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PTI</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Replaced subjective Public Trust Index with objective Protocol Integrity Index</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RWAI</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Expanded from real-world assets to real-world adoption and verification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Resilience</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Added ERI as a core equal-weight dimension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Reference scale</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Added dynamic ERU at 1.000000; VTS may exceed one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Market separation</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Added VRI and Opportunity Gap outside VTS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Risk and confidence</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Added VRS and VCS as independent analytical outputs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Missing data</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Removed arbitrary neutral values; added coverage and publication rules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Universality</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Defined universal economic concepts with chain-specific adapters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DLI circularity</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Removed VOX liquidity from the VTS liquidity calculation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V-FOREX</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Defined VTS ratio as a reference rate, not guaranteed market price</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VOX supply</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Replaced arbitrary chain caps; added universal parameters and explicit contraction</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Permission model</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Clarified that public networks may be measured without approval</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Governance</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Defined one DAO with constitutional limits, versioning and disputes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Data architecture</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Added provenance, source hierarchy, adapter standard and API</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Validation</w:t>
            </w:r>
          </w:p>
        </w:tc>
        <w:tc>
          <w:tcPr>
            <w:tcW w:w="4819" w:type="dxa"/>
            <w:tcBorders>
              <w:top w:val="single" w:sz="4" w:space="0" w:color="C9D7DE"/>
              <w:start w:val="single" w:sz="4" w:space="0" w:color="C9D7DE"/>
              <w:bottom w:val="single" w:sz="4" w:space="0" w:color="C9D7DE"/>
              <w:end w:val="single" w:sz="4" w:space="0" w:color="C9D7DE"/>
            </w:tcBorders>
            <w:shd w:fill="FFFFFF"/>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Added testing, event studies, manipulation resistance and limitations</w:t>
            </w:r>
          </w:p>
        </w:tc>
      </w:tr>
      <w:tr>
        <w:trPr>
          <w:cantSplit w:val="true"/>
        </w:trPr>
        <w:tc>
          <w:tcPr>
            <w:tcW w:w="4818" w:type="dxa"/>
            <w:tcBorders>
              <w:top w:val="single" w:sz="4" w:space="0" w:color="C9D7DE"/>
              <w:start w:val="single" w:sz="4" w:space="0" w:color="C9D7DE"/>
              <w:bottom w:val="single" w:sz="4" w:space="0" w:color="C9D7DE"/>
              <w:end w:val="single" w:sz="4" w:space="0" w:color="C9D7DE"/>
            </w:tcBorders>
            <w:shd w:fill="F5F8FA"/>
            <w:vAlign w:val="center"/>
          </w:tcPr>
          <w:p>
            <w:pPr>
              <w:pStyle w:val="Compact"/>
              <w:widowControl/>
              <w:suppressAutoHyphens w:val="true"/>
              <w:spacing w:lineRule="auto" w:line="240" w:before="20" w:after="40"/>
              <w:jc w:val="start"/>
              <w:rPr>
                <w:rFonts w:cs=""/>
                <w:kern w:val="0"/>
                <w:szCs w:val="22"/>
                <w:lang w:val="en-GB" w:eastAsia="en-US" w:bidi="ar-SA"/>
              </w:rPr>
            </w:pPr>
            <w:r>
              <w:rPr>
                <w:rFonts w:cs=""/>
                <w:color w:val="232B31"/>
                <w:kern w:val="0"/>
                <w:sz w:val="16"/>
                <w:szCs w:val="22"/>
                <w:lang w:val="en-GB" w:eastAsia="en-US" w:bidi="ar-SA"/>
              </w:rPr>
              <w:t>Presentation</w:t>
            </w:r>
          </w:p>
        </w:tc>
        <w:tc>
          <w:tcPr>
            <w:tcW w:w="4819" w:type="dxa"/>
            <w:tcBorders>
              <w:top w:val="single" w:sz="4" w:space="0" w:color="C9D7DE"/>
              <w:start w:val="single" w:sz="4" w:space="0" w:color="C9D7DE"/>
              <w:bottom w:val="single" w:sz="4" w:space="0" w:color="C9D7DE"/>
              <w:end w:val="single" w:sz="4" w:space="0" w:color="C9D7DE"/>
            </w:tcBorders>
            <w:shd w:fill="F5F8FA"/>
            <w:vAlign w:val="center"/>
          </w:tcPr>
          <w:p>
            <w:pPr>
              <w:pStyle w:val="Normal"/>
              <w:suppressAutoHyphens w:val="true"/>
              <w:spacing w:before="0" w:after="120"/>
              <w:rPr/>
            </w:pPr>
            <w:r>
              <w:rPr/>
              <w:t>Rebuilt equations as publication-safe mathematical renderings; corrected contents hierarchy, pagination, navigation and final-page quality assurance.</w:t>
            </w:r>
          </w:p>
        </w:tc>
      </w:tr>
    </w:tbl>
    <w:p>
      <w:pPr>
        <w:pStyle w:val="Heading2"/>
        <w:pageBreakBefore/>
      </w:pPr>
      <w:r>
        <w:t>L.1 Collector FLOW amendment</w:t>
      </w:r>
    </w:p>
    <w:p>
      <w:pPr>
        <w:pStyle w:val="BodyText"/>
        <w:keepLines/>
      </w:pPr>
      <w:r>
        <w:t>28 September 2026 — Collector FLOW amendment: added Sections 5.8–5.13 and Figures 5.1–5.2. Defined the universal collection contract, independent per-network evidence stores, LIVE priority, spare-capacity REPAIR, independent controls, canonical persistence, network mechanics, telemetry and measured tuning. Metric definitions, weights and scoring formulas are unchanged. Existing section numbers are preserved. Implementation and production certification require separate evidence.</w:t>
      </w:r>
    </w:p>
    <w:p>
      <w:pPr>
        <w:pStyle w:val="BodyText"/>
      </w:pPr>
      <w:r>
        <w:t>Scope and impact. The common collection contract is expanded within Chapter 5. The detailed FLOW and independent network evidence designs are explained in Section 5.9. Existing chapters, appendices, economic definitions, metric tables, equations and weights retain their prior content and numbering. The contents page reflects the revised pagination.</w:t>
      </w:r>
    </w:p>
    <w:p>
      <w:pPr>
        <w:pStyle w:val="BodyText"/>
      </w:pPr>
      <w:r>
        <w:t>Migration and validation. Implementations record their own adapter and configuration versions and demonstrate compliance through the measurements in Sections 5.12–5.13. This amendment assigns no universal numerical operating settings and makes no production-certification claim. Historical calculations remain preserved; evidence corrections follow the existing revision and recalculation policies.</w:t>
      </w:r>
    </w:p>
    <w:p>
      <w:pPr>
        <w:pStyle w:val="BodyText"/>
      </w:pPr>
      <w:r>
        <w:t>Publication record. This amendment supplements the July 2026 Edition 3.1 publication on 28 September 2026. The unamended publication is retained as a separate source version, together with a textual change record for this amendment.</w:t>
      </w:r>
    </w:p>
    <w:p>
      <w:pPr>
        <w:pStyle w:val="Heading2"/>
        <w:keepNext/>
        <w:pBdr/>
        <w:pageBreakBefore/>
        <w:spacing w:before="100" w:after="120" w:line="250" w:lineRule="auto"/>
      </w:pPr>
      <w:r>
        <w:rPr>
          <w:color w:val="000000"/>
          <w:sz w:val="25"/>
        </w:rPr>
        <w:t>L.2 Secure Vox Node architecture amendment</w:t>
      </w:r>
    </w:p>
    <w:p>
      <w:pPr>
        <w:pStyle w:val="BodyText"/>
        <w:spacing w:before="0" w:after="120" w:line="250" w:lineRule="auto"/>
      </w:pPr>
      <w:r>
        <w:rPr>
          <w:color w:val="000000"/>
          <w:sz w:val="22"/>
        </w:rPr>
        <w:t>30 September 2026. Adds the publication notice and Appendix M, extending the deployment architecture without changing Edition 3.1 metric definitions, equations, weights, confidence rules or collector FLOW requirements. The 28 September amendment is retained. No existing implementation is certified by this publication.</w:t>
      </w:r>
    </w:p>
    <w:p>
      <w:pPr>
        <w:pStyle w:val="BodyText"/>
        <w:spacing w:before="0" w:after="120" w:line="250" w:lineRule="auto"/>
      </w:pPr>
      <w:r>
        <w:rPr>
          <w:color w:val="000000"/>
          <w:sz w:val="22"/>
        </w:rPr>
        <w:t>Appendix M covers sovereign node operation, independent evidence stores and writer ownership, outbound signed publication, canonical methodology, verification and disputes, identity and anti-Sybil controls, key custody and revocation, secure updates, cloud and dashboard separation, availability, service tiers and phased acceptance.</w:t>
      </w:r>
    </w:p>
    <w:p>
      <w:pPr>
        <w:pStyle w:val="BodyText"/>
        <w:spacing w:before="0" w:after="120" w:line="250" w:lineRule="auto"/>
      </w:pPr>
      <w:r>
        <w:rPr>
          <w:color w:val="000000"/>
          <w:sz w:val="22"/>
        </w:rPr>
        <w:t>Migration and impact. Preserve historical evidence and score series. Introduce versioned interfaces and metadata through tested migrations; apply existing revision rules to any discovered evidence correction. New operational policies require their own approval and acceptance evidence before use. This amendment does not require historical recalculation by itself.</w:t>
      </w:r>
    </w:p>
    <w:p>
      <w:pPr>
        <w:pStyle w:val="BodyText"/>
        <w:spacing w:before="0" w:after="120" w:line="250" w:lineRule="auto"/>
      </w:pPr>
      <w:r>
        <w:rPr>
          <w:color w:val="000000"/>
          <w:sz w:val="22"/>
        </w:rPr>
        <w:t>Source record. The amended source DOCX has SHA-256 9757641ca4eb7342b4c17dc1e6e5ad743303b4722d80e1f16d9011075b56a82d. An unchanged copy is retained in the repository archive. Existing body content is preserved; navigation is refreshed for this revision.</w:t>
      </w:r>
    </w:p>
    <w:p>
      <w:pPr>
        <w:pStyle w:val="Heading2"/>
        <w:keepNext/>
        <w:pBdr/>
        <w:spacing w:before="100" w:after="120" w:line="250" w:lineRule="auto"/>
      </w:pPr>
      <w:r>
        <w:rPr>
          <w:color w:val="000000"/>
          <w:sz w:val="25"/>
        </w:rPr>
        <w:t>Appendix M reading guide</w:t>
      </w:r>
    </w:p>
    <w:p>
      <w:pPr>
        <w:pStyle w:val="BodyText"/>
        <w:spacing w:before="0" w:after="30" w:line="250" w:lineRule="auto"/>
      </w:pPr>
      <w:r>
        <w:rPr>
          <w:color w:val="000000"/>
          <w:sz w:val="22"/>
        </w:rPr>
        <w:t>M.1 Purpose authority and implementation status  ·  122</w:t>
      </w:r>
    </w:p>
    <w:p>
      <w:pPr>
        <w:pStyle w:val="BodyText"/>
        <w:spacing w:before="0" w:after="30" w:line="250" w:lineRule="auto"/>
      </w:pPr>
      <w:r>
        <w:rPr>
          <w:color w:val="000000"/>
          <w:sz w:val="22"/>
        </w:rPr>
        <w:t>M.2 System boundaries and responsibilities  ·  123</w:t>
      </w:r>
    </w:p>
    <w:p>
      <w:pPr>
        <w:pStyle w:val="BodyText"/>
        <w:spacing w:before="0" w:after="30" w:line="250" w:lineRule="auto"/>
      </w:pPr>
      <w:r>
        <w:rPr>
          <w:color w:val="000000"/>
          <w:sz w:val="22"/>
        </w:rPr>
        <w:t>M.3 Participation modes and operator control  ·  124</w:t>
      </w:r>
    </w:p>
    <w:p>
      <w:pPr>
        <w:pStyle w:val="BodyText"/>
        <w:spacing w:before="0" w:after="30" w:line="250" w:lineRule="auto"/>
      </w:pPr>
      <w:r>
        <w:rPr>
          <w:color w:val="000000"/>
          <w:sz w:val="22"/>
        </w:rPr>
        <w:t>M.4 Evidence ownership and one writer per lane  ·  125</w:t>
      </w:r>
    </w:p>
    <w:p>
      <w:pPr>
        <w:pStyle w:val="BodyText"/>
        <w:spacing w:before="0" w:after="30" w:line="250" w:lineRule="auto"/>
      </w:pPr>
      <w:r>
        <w:rPr>
          <w:color w:val="000000"/>
          <w:sz w:val="22"/>
        </w:rPr>
        <w:t>M.5 Canonical methodology and reproducible calculation  ·  126</w:t>
      </w:r>
    </w:p>
    <w:p>
      <w:pPr>
        <w:pStyle w:val="BodyText"/>
        <w:spacing w:before="0" w:after="30" w:line="250" w:lineRule="auto"/>
      </w:pPr>
      <w:r>
        <w:rPr>
          <w:color w:val="000000"/>
          <w:sz w:val="22"/>
        </w:rPr>
        <w:t>M.6 Signed publication contract  ·  127</w:t>
      </w:r>
    </w:p>
    <w:p>
      <w:pPr>
        <w:pStyle w:val="BodyText"/>
        <w:spacing w:before="0" w:after="30" w:line="250" w:lineRule="auto"/>
      </w:pPr>
      <w:r>
        <w:rPr>
          <w:color w:val="000000"/>
          <w:sz w:val="22"/>
        </w:rPr>
        <w:t>M.7 Outbound publication and cloud admission  ·  128</w:t>
      </w:r>
    </w:p>
    <w:p>
      <w:pPr>
        <w:pStyle w:val="BodyText"/>
        <w:spacing w:before="0" w:after="30" w:line="250" w:lineRule="auto"/>
      </w:pPr>
      <w:r>
        <w:rPr>
          <w:color w:val="000000"/>
          <w:sz w:val="22"/>
        </w:rPr>
        <w:t>M.8 Cross node verification and independence  ·  129</w:t>
      </w:r>
    </w:p>
    <w:p>
      <w:pPr>
        <w:pStyle w:val="BodyText"/>
        <w:spacing w:before="0" w:after="30" w:line="250" w:lineRule="auto"/>
      </w:pPr>
      <w:r>
        <w:rPr>
          <w:color w:val="000000"/>
          <w:sz w:val="22"/>
        </w:rPr>
        <w:t>M.9 Disagreement and fail closed decisions  ·  130</w:t>
      </w:r>
    </w:p>
    <w:p>
      <w:pPr>
        <w:pStyle w:val="BodyText"/>
        <w:spacing w:before="0" w:after="30" w:line="250" w:lineRule="auto"/>
      </w:pPr>
      <w:r>
        <w:rPr>
          <w:color w:val="000000"/>
          <w:sz w:val="22"/>
        </w:rPr>
        <w:t>M.10 Node identity admission and anti Sybil controls  ·  131</w:t>
      </w:r>
    </w:p>
    <w:p>
      <w:pPr>
        <w:pStyle w:val="BodyText"/>
        <w:spacing w:before="0" w:after="30" w:line="250" w:lineRule="auto"/>
      </w:pPr>
      <w:r>
        <w:rPr>
          <w:color w:val="000000"/>
          <w:sz w:val="22"/>
        </w:rPr>
        <w:t>M.11 Key custody rotation and revocation  ·  132</w:t>
      </w:r>
    </w:p>
    <w:p>
      <w:pPr>
        <w:pStyle w:val="BodyText"/>
        <w:spacing w:before="0" w:after="30" w:line="250" w:lineRule="auto"/>
      </w:pPr>
      <w:r>
        <w:rPr>
          <w:color w:val="000000"/>
          <w:sz w:val="22"/>
        </w:rPr>
        <w:t>M.12 Node software and update security  ·  133</w:t>
      </w:r>
    </w:p>
    <w:p>
      <w:pPr>
        <w:pStyle w:val="BodyText"/>
        <w:spacing w:before="0" w:after="30" w:line="250" w:lineRule="auto"/>
      </w:pPr>
      <w:r>
        <w:rPr>
          <w:color w:val="000000"/>
          <w:sz w:val="22"/>
        </w:rPr>
        <w:t>M.13 Availability failover and disaster recovery  ·  134</w:t>
      </w:r>
    </w:p>
    <w:p>
      <w:pPr>
        <w:pStyle w:val="BodyText"/>
        <w:spacing w:before="0" w:after="30" w:line="250" w:lineRule="auto"/>
      </w:pPr>
      <w:r>
        <w:rPr>
          <w:color w:val="000000"/>
          <w:sz w:val="22"/>
        </w:rPr>
        <w:t>M.14 Cloud dashboard and access architecture  ·  135</w:t>
      </w:r>
    </w:p>
    <w:p>
      <w:pPr>
        <w:pStyle w:val="BodyText"/>
        <w:spacing w:before="0" w:after="30" w:line="250" w:lineRule="auto"/>
      </w:pPr>
      <w:r>
        <w:rPr>
          <w:color w:val="000000"/>
          <w:sz w:val="22"/>
        </w:rPr>
        <w:t>M.15 Subscription and service tiers  ·  136</w:t>
      </w:r>
    </w:p>
    <w:p>
      <w:pPr>
        <w:pStyle w:val="BodyText"/>
        <w:spacing w:before="0" w:after="30" w:line="250" w:lineRule="auto"/>
      </w:pPr>
      <w:r>
        <w:rPr>
          <w:color w:val="000000"/>
          <w:sz w:val="22"/>
        </w:rPr>
        <w:t>M.16 Phased rollout with evidence gates  ·  137</w:t>
      </w:r>
    </w:p>
    <w:p>
      <w:pPr>
        <w:pStyle w:val="BodyText"/>
        <w:spacing w:before="0" w:after="30" w:line="250" w:lineRule="auto"/>
      </w:pPr>
      <w:r>
        <w:rPr>
          <w:color w:val="000000"/>
          <w:sz w:val="22"/>
        </w:rPr>
        <w:t>M.17 Acceptance evidence and operational ownership  ·  138</w:t>
      </w:r>
    </w:p>
    <w:p>
      <w:pPr>
        <w:pStyle w:val="BodyText"/>
        <w:spacing w:before="0" w:after="30" w:line="250" w:lineRule="auto"/>
      </w:pPr>
      <w:r>
        <w:rPr>
          <w:color w:val="000000"/>
          <w:sz w:val="22"/>
        </w:rPr>
        <w:t>M.18 Amendment record and supporting references  ·  139</w:t>
      </w:r>
    </w:p>
    <w:p>
      <w:pPr>
        <w:pStyle w:val="Heading1"/>
        <w:keepNext/>
        <w:pBdr/>
        <w:pageBreakBefore/>
        <w:spacing w:before="100" w:after="120" w:line="250" w:lineRule="auto"/>
      </w:pPr>
      <w:bookmarkStart w:id="699" w:name="VoxSecureNodeAppendix"/>
      <w:r>
        <w:rPr>
          <w:color w:val="000000"/>
          <w:sz w:val="30"/>
        </w:rPr>
        <w:t>Appendix M Secure Vox Node and Vox Cloud architecture</w:t>
      </w:r>
      <w:bookmarkEnd w:id="699"/>
    </w:p>
    <w:p>
      <w:pPr>
        <w:pStyle w:val="Heading2"/>
        <w:keepNext/>
        <w:pBdr/>
        <w:spacing w:before="100" w:after="120" w:line="250" w:lineRule="auto"/>
      </w:pPr>
      <w:r>
        <w:rPr>
          <w:color w:val="000000"/>
          <w:sz w:val="25"/>
        </w:rPr>
        <w:t>M.1 Purpose authority and implementation status</w:t>
      </w:r>
    </w:p>
    <w:p>
      <w:pPr>
        <w:pStyle w:val="BodyText"/>
        <w:spacing w:before="0" w:after="120" w:line="250" w:lineRule="auto"/>
      </w:pPr>
      <w:r>
        <w:rPr>
          <w:color w:val="000000"/>
          <w:sz w:val="22"/>
        </w:rPr>
        <w:t>This amendment defines how Voxonomics can operate as a continuously available cloud service and develop a network of independently operated Vox Nodes, including Vox in a Box appliances. It extends Chapters 5, 6, 28, 29, 30, 33 and 36. Edition 3.1 remains the controlling measurement specification. The six parent indices, their equal weights, all canonical metric meanings, mathematical definitions, normalisation, ERU, confidence thresholds, publication bands and implementation rules are preserved.</w:t>
      </w:r>
    </w:p>
    <w:p>
      <w:pPr>
        <w:pStyle w:val="BodyText"/>
        <w:spacing w:before="0" w:after="120" w:line="250" w:lineRule="auto"/>
      </w:pPr>
      <w:r>
        <w:rPr>
          <w:color w:val="000000"/>
          <w:sz w:val="22"/>
        </w:rPr>
        <w:t>The amendment is dated 30 September 2026. In this appendix, “must” defines a design requirement and “proposed” identifies architecture awaiting implementation and acceptance evidence. Neither term establishes that a capability is deployed. Adoption of this document does not certify software, launch a service, establish a DAO or activate tokenised VOX, V-FOREX trading or blockchain consensus.</w:t>
      </w:r>
    </w:p>
    <w:p>
      <w:pPr>
        <w:pStyle w:val="BodyText"/>
        <w:spacing w:before="0" w:after="120" w:line="250" w:lineRule="auto"/>
      </w:pPr>
      <w:r>
        <w:rPr>
          <w:color w:val="000000"/>
          <w:sz w:val="22"/>
        </w:rPr>
        <w:t>Canonical baseline. The source is the active Edition 3.1 DOCX carrying the 28 September 2026 Collector FLOW amendment. It specifies independent network stores, one logical writer per network, LIVE priority, spare-capacity REPAIR, deterministic measurement and explicit evidence quality. These are existing specification requirements, not a blanket statement of production compliance.</w:t>
      </w:r>
    </w:p>
    <w:p>
      <w:pPr>
        <w:pStyle w:val="BodyText"/>
        <w:spacing w:before="0" w:after="120" w:line="250" w:lineRule="auto"/>
      </w:pPr>
      <w:r>
        <w:rPr>
          <w:color w:val="000000"/>
          <w:sz w:val="22"/>
        </w:rPr>
        <w:t>Reported implementation. The referenced Capacity Diagnosis Status conversation describes ETH, AVAX and Solana collector and evidence operations, including integrity repairs and validation work. Those reports establish the context for this design; they are not an independent audit of deployed code. This amendment makes no fresh assertion about current collector certification, coverage, head position, governor completion or operational readiness.</w:t>
      </w:r>
    </w:p>
    <w:p>
      <w:pPr>
        <w:pStyle w:val="BodyText"/>
        <w:spacing w:before="0" w:after="120" w:line="250" w:lineRule="auto"/>
      </w:pPr>
      <w:r>
        <w:rPr>
          <w:color w:val="000000"/>
          <w:sz w:val="22"/>
        </w:rPr>
        <w:t>Future network architecture. Vox Cloud separation, node enrolment, signed outbound publication, participant verification, public contribution, identity and revocation services, software distribution and failover are specified here as proposed capabilities. No decentralized Vox network, node consensus, permissionless admission, cross-node production verification or 24/7 service guarantee is claimed as implemented.</w:t>
      </w:r>
    </w:p>
    <w:p>
      <w:pPr>
        <w:pStyle w:val="BodyText"/>
        <w:spacing w:before="0" w:after="120" w:line="250" w:lineRule="auto"/>
      </w:pPr>
      <w:r>
        <w:rPr>
          <w:color w:val="000000"/>
          <w:sz w:val="22"/>
        </w:rPr>
        <w:t>Before changing any capability’s status, maintainers must publish an implementation register identifying component, network, software commit and build digest, configuration and policy versions, test report, observation window, deployment scope, reviewer, residual limitations and acceptance decision. States must distinguish specified, implemented, tested, live pilot and accepted for operation. A screenshot, signature or passing unit test alone cannot establish production readiness.</w:t>
      </w:r>
    </w:p>
    <w:p>
      <w:pPr>
        <w:pStyle w:val="Heading2"/>
        <w:keepNext/>
        <w:pBdr/>
        <w:pageBreakBefore/>
        <w:spacing w:before="100" w:after="120" w:line="250" w:lineRule="auto"/>
      </w:pPr>
      <w:r>
        <w:rPr>
          <w:color w:val="000000"/>
          <w:sz w:val="25"/>
        </w:rPr>
        <w:t>M.2 System boundaries and responsibilities</w:t>
      </w:r>
    </w:p>
    <w:p>
      <w:pPr>
        <w:pStyle w:val="BodyText"/>
        <w:spacing w:before="0" w:after="120" w:line="250" w:lineRule="auto"/>
      </w:pPr>
      <w:r>
        <w:rPr>
          <w:color w:val="000000"/>
          <w:sz w:val="22"/>
        </w:rPr>
        <w:t>Vox Cloud is the proposed hosted presentation and service platform. It serves VoxUI, authenticated service features, a read-only measurement API and approved snapshot mirrors. Its separate ingestion service receives candidate publications. Isolated validation and promotion services decide whether candidates satisfy the applicable publication policy. Cloud hosting is a deployment choice; it confers no authority to alter the measurement standard.</w:t>
      </w:r>
    </w:p>
    <w:p>
      <w:pPr>
        <w:pStyle w:val="BodyText"/>
        <w:spacing w:before="0" w:after="120" w:line="250" w:lineRule="auto"/>
      </w:pPr>
      <w:r>
        <w:rPr>
          <w:color w:val="000000"/>
          <w:sz w:val="22"/>
        </w:rPr>
        <w:t>A Vox Node is an independently administered collection and verification system. Vox in a Box packages this role for an operator-controlled machine or appliance. “Sovereign” means that the operator controls its evidence, keys, participation mode and local access. It does not mean the node’s outputs are automatically trusted, correct or official. Cloud-hosted nodes must meet the same rules as appliances and disclose their control and source dependencies.</w:t>
      </w:r>
    </w:p>
    <w:p>
      <w:pPr>
        <w:pStyle w:val="BodyText"/>
        <w:spacing w:before="0" w:after="120" w:line="250" w:lineRule="auto"/>
      </w:pPr>
      <w:r>
        <w:rPr>
          <w:color w:val="000000"/>
          <w:sz w:val="22"/>
        </w:rPr>
        <w:t>The local path is CHAIN OR APPROVED SOURCE → COLLECT → VERIFY AND STORE → MEASURE → SCORE → VALIDATE → SIGN → OUTBOUND PUBLICATION. Storage and verification remain within the collector contract in Sections 5.8–5.13. Signing takes place only after the required evidence, calculation and publication checks; an unchecked candidate must not be presented as an accepted score.</w:t>
      </w:r>
    </w:p>
    <w:p>
      <w:pPr>
        <w:pStyle w:val="BodyText"/>
        <w:spacing w:before="0" w:after="120" w:line="250" w:lineRule="auto"/>
      </w:pPr>
      <w:r>
        <w:rPr>
          <w:color w:val="000000"/>
          <w:sz w:val="22"/>
        </w:rPr>
        <w:t>The cloud path is AUTHENTICATED INGESTION → QUARANTINE → INDEPENDENT VALIDATION → POLICY DECISION → IMMUTABLE PUBLISHED SNAPSHOT → READ-ONLY API AND DASHBOARD. Network segmentation and separate identities must enforce these boundaries. The public API cannot write to canonical stores, invoke collectors, run maintenance, sign a result or promote a candidate. Ingestion credentials cannot perform those actions either.</w:t>
      </w:r>
    </w:p>
    <w:p>
      <w:pPr>
        <w:pStyle w:val="BodyText"/>
        <w:spacing w:before="0" w:after="120" w:line="250" w:lineRule="auto"/>
      </w:pPr>
      <w:r>
        <w:rPr>
          <w:color w:val="000000"/>
          <w:sz w:val="22"/>
        </w:rPr>
        <w:t>Collectors, local databases, evidence writers, signing services and management interfaces must have no unsolicited public inbound exposure. Nodes initiate authenticated outbound connections to approved publication, source and update services. No reverse tunnel, remote command channel or inbound callback is required for participation. Replies to outbound connections remain untrusted input and must be parsed with strict size, type and time limits.</w:t>
      </w:r>
    </w:p>
    <w:p>
      <w:pPr>
        <w:pStyle w:val="BodyText"/>
        <w:spacing w:before="0" w:after="120" w:line="250" w:lineRule="auto"/>
      </w:pPr>
      <w:r>
        <w:rPr>
          <w:color w:val="000000"/>
          <w:sz w:val="22"/>
        </w:rPr>
        <w:t>Each node retains independent per-network evidence stores. Nodes exchange bounded publications, verification statements and explicitly exported evidence packages. They never become concurrent writers to a shared canonical evidence database. Cloud queues and derived read models may use normal transactional storage, but cannot replace node evidence ownership or become a shared evidence writer.</w:t>
      </w:r>
    </w:p>
    <w:p>
      <w:pPr>
        <w:pStyle w:val="BodyText"/>
        <w:spacing w:before="0" w:after="120" w:line="250" w:lineRule="auto"/>
      </w:pPr>
      <w:r>
        <w:rPr>
          <w:color w:val="000000"/>
          <w:sz w:val="22"/>
        </w:rPr>
        <w:t>Threat assumptions include malicious contributors, compromised nodes or keys, dishonest or correlated providers, cloud compromise, replay, equivocation, denial of service, unsafe updates and network partitions. Outbound-only publication reduces inbound exposure; it does not prevent malicious updates, compromised dependencies or data leakage. The controls below address these remaining paths.</w:t>
      </w:r>
    </w:p>
    <w:p>
      <w:pPr>
        <w:pStyle w:val="Heading2"/>
        <w:keepNext/>
        <w:pBdr/>
        <w:pageBreakBefore/>
        <w:spacing w:before="100" w:after="120" w:line="250" w:lineRule="auto"/>
      </w:pPr>
      <w:r>
        <w:rPr>
          <w:color w:val="000000"/>
          <w:sz w:val="25"/>
        </w:rPr>
        <w:t>M.3 Participation modes and operator control</w:t>
      </w:r>
    </w:p>
    <w:p>
      <w:pPr>
        <w:pStyle w:val="BodyText"/>
        <w:spacing w:before="0" w:after="120" w:line="250" w:lineRule="auto"/>
      </w:pPr>
      <w:r>
        <w:rPr>
          <w:color w:val="000000"/>
          <w:sz w:val="22"/>
        </w:rPr>
        <w:t>Local or private mode is the default for a new appliance. Collection, evidence storage, measurement and inspection can remain entirely local. No measurement, evidence, operator identity or telemetry is uploaded without explicit configuration. Required source requests still contact the operator’s chosen providers. Truly disconnected use is limited to imported snapshots and offline verification, with observation age clearly shown.</w:t>
      </w:r>
    </w:p>
    <w:p>
      <w:pPr>
        <w:pStyle w:val="BodyText"/>
        <w:spacing w:before="0" w:after="120" w:line="250" w:lineRule="auto"/>
      </w:pPr>
      <w:r>
        <w:rPr>
          <w:color w:val="000000"/>
          <w:sz w:val="22"/>
        </w:rPr>
        <w:t>Verification-participant mode is opt-in. A node obtains signed candidate packages through outbound polling or an authenticated outbound session, checks their signatures and policy metadata, retrieves permitted evidence and independently reproduces the declared calculation. It may submit a signed verification statement without contributing its private evidence. The statement must say whether it independently recollected chain facts, verified proofs, reproduced supplied evidence or only checked signatures. Those assurance levels are not interchangeable.</w:t>
      </w:r>
    </w:p>
    <w:p>
      <w:pPr>
        <w:pStyle w:val="BodyText"/>
        <w:spacing w:before="0" w:after="120" w:line="250" w:lineRule="auto"/>
      </w:pPr>
      <w:r>
        <w:rPr>
          <w:color w:val="000000"/>
          <w:sz w:val="22"/>
        </w:rPr>
        <w:t>Public data-contributor mode is a separate opt-in. An enrolled node collects under approved adapters and offers scoped publications and permitted evidence exports for public verification. Eligibility requires demonstrated integrity, reproducibility, supported software, key controls and the admission policy in M.10. Submission is not a promise of acceptance. An operator may contribute some networks or metrics while keeping others private.</w:t>
      </w:r>
    </w:p>
    <w:p>
      <w:pPr>
        <w:pStyle w:val="BodyText"/>
        <w:spacing w:before="0" w:after="120" w:line="250" w:lineRule="auto"/>
      </w:pPr>
      <w:r>
        <w:rPr>
          <w:color w:val="000000"/>
          <w:sz w:val="22"/>
        </w:rPr>
        <w:t>Mode changes require an explicit local action by an authorised administrator. The interface must display the networks, fields, evidence classes, retention commitment, destinations and identity information that will leave the node. Cloud subscriptions and software updates cannot silently enable contribution, change destinations or upload old private evidence. Withdrawal stops future participation but cannot retract copies of data already made public.</w:t>
      </w:r>
    </w:p>
    <w:p>
      <w:pPr>
        <w:pStyle w:val="BodyText"/>
        <w:spacing w:before="0" w:after="120" w:line="250" w:lineRule="auto"/>
      </w:pPr>
      <w:r>
        <w:rPr>
          <w:color w:val="000000"/>
          <w:sz w:val="22"/>
        </w:rPr>
        <w:t>Public verification requests are delivered through the node’s outbound channel and restricted to an operator-approved export catalogue. They cannot request arbitrary paths, execute queries against private stores, fetch arbitrary URLs, reach credentials or administer the node. Local resource caps reserve capacity for LIVE collection. Verification and export work must yield when necessary and report deferral rather than manufacture a successful check.</w:t>
      </w:r>
    </w:p>
    <w:p>
      <w:pPr>
        <w:pStyle w:val="BodyText"/>
        <w:spacing w:before="0" w:after="120" w:line="250" w:lineRule="auto"/>
      </w:pPr>
      <w:r>
        <w:rPr>
          <w:color w:val="000000"/>
          <w:sz w:val="22"/>
        </w:rPr>
        <w:t>A private node may calculate locally without cloud authentication or a paid plan. Its output must retain its actual evidence quality and methodology label. Private results, experimental adapters and custom research variants cannot acquire official canonical status by being uploaded. Public participation requires the full applicable publication gates and must not depend on buying a commercial service tier.</w:t>
      </w:r>
    </w:p>
    <w:p>
      <w:pPr>
        <w:pStyle w:val="Heading2"/>
        <w:keepNext/>
        <w:pBdr/>
        <w:pageBreakBefore/>
        <w:spacing w:before="100" w:after="120" w:line="250" w:lineRule="auto"/>
      </w:pPr>
      <w:r>
        <w:rPr>
          <w:color w:val="000000"/>
          <w:sz w:val="25"/>
        </w:rPr>
        <w:t>M.4 Evidence ownership and one writer per lane</w:t>
      </w:r>
    </w:p>
    <w:p>
      <w:pPr>
        <w:pStyle w:val="BodyText"/>
        <w:spacing w:before="0" w:after="120" w:line="250" w:lineRule="auto"/>
      </w:pPr>
      <w:r>
        <w:rPr>
          <w:color w:val="000000"/>
          <w:sz w:val="22"/>
        </w:rPr>
        <w:t>Every canonical store belongs to a named node and a named network scope. Within that store, a lane is a declared ownership boundary for ordered canonical persistence. The term does not relax Section 5.11: a single logical writer per network retains responsibility for canonical updates and checkpoint advancement. Internal evidence-kind lanes may execute separately only under that ownership and a coherent commit protocol. Two processes cannot independently advance the same network checkpoint.</w:t>
      </w:r>
    </w:p>
    <w:p>
      <w:pPr>
        <w:pStyle w:val="BodyText"/>
        <w:spacing w:before="0" w:after="120" w:line="250" w:lineRule="auto"/>
      </w:pPr>
      <w:r>
        <w:rPr>
          <w:color w:val="000000"/>
          <w:sz w:val="22"/>
        </w:rPr>
        <w:t>Workers may fetch or verify concurrently. All resulting evidence, repairs and imported material must enter through the owning writer. An atomic transaction or durable commit journal binds evidence, indexes, manifests and checkpoint updates. On restart, the writer must reconcile incomplete commits before resuming. Storage must reject a superseded writer using an enforceable fencing mechanism; a lease timeout or a process health check alone cannot prevent split-brain writes.</w:t>
      </w:r>
    </w:p>
    <w:p>
      <w:pPr>
        <w:pStyle w:val="BodyText"/>
        <w:spacing w:before="0" w:after="120" w:line="250" w:lineRule="auto"/>
      </w:pPr>
      <w:r>
        <w:rPr>
          <w:color w:val="000000"/>
          <w:sz w:val="22"/>
        </w:rPr>
        <w:t>Evidence identity must bind the canonical network and chain identity, evidence kind, coordinate or range, block or state identity where applicable, schema version and content digest. A payload hash by itself is not a coordinate identity: identical empty payload bytes at two coordinates must not overwrite each other’s mappings. Content-addressed deduplication is allowed only when all coordinate bindings and provenance remain independently resolvable.</w:t>
      </w:r>
    </w:p>
    <w:p>
      <w:pPr>
        <w:pStyle w:val="BodyText"/>
        <w:spacing w:before="0" w:after="120" w:line="250" w:lineRule="auto"/>
      </w:pPr>
      <w:r>
        <w:rPr>
          <w:color w:val="000000"/>
          <w:sz w:val="22"/>
        </w:rPr>
        <w:t>A coverage claim means that the production reader can resolve and return every required evidence kind for the claimed scope under the adapter’s rules. Reconciliation must test actual reader servability, not just the presence of ledger entries or files. An exception, incomplete enumeration or failed hash check is a failed check, never zero defects. A hash proves a commitment to bytes; it does not prove possession, availability, completeness or truth.</w:t>
      </w:r>
    </w:p>
    <w:p>
      <w:pPr>
        <w:pStyle w:val="BodyText"/>
        <w:spacing w:before="0" w:after="120" w:line="250" w:lineRule="auto"/>
      </w:pPr>
      <w:r>
        <w:rPr>
          <w:color w:val="000000"/>
          <w:sz w:val="22"/>
        </w:rPr>
        <w:t>Completion checkpoints advance only after durable verification of all required work. Gaps remain explicit; high-water marks do not replace contiguous completed frontiers. Solana finalized slots and skipped-slot resolution, ETH and AVAX block and receipt rules, LIVE priority and spare-capacity REPAIR remain as defined in Sections 5.8–5.13. Unknown or unavailable observations cannot be converted into zero activity or resolved skips.</w:t>
      </w:r>
    </w:p>
    <w:p>
      <w:pPr>
        <w:pStyle w:val="BodyText"/>
        <w:spacing w:before="0" w:after="120" w:line="250" w:lineRule="auto"/>
      </w:pPr>
      <w:r>
        <w:rPr>
          <w:color w:val="000000"/>
          <w:sz w:val="22"/>
        </w:rPr>
        <w:t>Maintenance requires verified writer quiescence, a recoverable backup, an exact affected set, a reviewed change and post-repair reader reconciliation. Corrections append a reasoned revision or tombstone; original evidence history and published snapshots remain traceable. Evidence imported from another node is labelled as imported, with origin and verification scope. It cannot be relabelled as independently collected or merged into another node’s history without the local writer’s validation.</w:t>
      </w:r>
    </w:p>
    <w:p>
      <w:pPr>
        <w:pStyle w:val="Heading2"/>
        <w:keepNext/>
        <w:pBdr/>
        <w:pageBreakBefore/>
        <w:spacing w:before="100" w:after="120" w:line="250" w:lineRule="auto"/>
      </w:pPr>
      <w:r>
        <w:rPr>
          <w:color w:val="000000"/>
          <w:sz w:val="25"/>
        </w:rPr>
        <w:t>M.5 Canonical methodology and reproducible calculation</w:t>
      </w:r>
    </w:p>
    <w:p>
      <w:pPr>
        <w:pStyle w:val="BodyText"/>
        <w:spacing w:before="0" w:after="120" w:line="250" w:lineRule="auto"/>
      </w:pPr>
      <w:r>
        <w:rPr>
          <w:color w:val="000000"/>
          <w:sz w:val="22"/>
        </w:rPr>
        <w:t>A publication must identify the full framework version, metric registry digest, adapter version and commit, network scope, source schema and versions, classification datasets, benchmark and ERU snapshot, configuration digest, calculation code and build image digest. Methodology identity and software release identity are separate. Two binaries bearing the same version label are not assumed equivalent without their immutable digests and conformance evidence.</w:t>
      </w:r>
    </w:p>
    <w:p>
      <w:pPr>
        <w:pStyle w:val="BodyText"/>
        <w:spacing w:before="0" w:after="120" w:line="250" w:lineRule="auto"/>
      </w:pPr>
      <w:r>
        <w:rPr>
          <w:color w:val="000000"/>
          <w:sz w:val="22"/>
        </w:rPr>
        <w:t>Comparison is valid only for the same measurement object: network and finality anchor, observation interval, eligible evidence scope, units, exclusions, methodology and adapter compatibility, benchmark inputs, ERU composition, smoothing history and declared precision. Different windows, source revisions, finality views or methodology versions produce incomparable candidates until aligned. They are not automatically evidence of malicious behaviour.</w:t>
      </w:r>
    </w:p>
    <w:p>
      <w:pPr>
        <w:pStyle w:val="BodyText"/>
        <w:spacing w:before="0" w:after="120" w:line="250" w:lineRule="auto"/>
      </w:pPr>
      <w:r>
        <w:rPr>
          <w:color w:val="000000"/>
          <w:sz w:val="22"/>
        </w:rPr>
        <w:t>The calculation uses Edition 3.1’s existing decimal, rounding, timezone, ordering, missing-data, confidence and publication rules. A verifier must have the complete required historical window and intermediate inputs, including relevant smoothing state and ERU inputs. A snapshot with only final headline scores cannot support full reproduction. Node count must not change metric weights, substitute missing values or create a new VCS formula.</w:t>
      </w:r>
    </w:p>
    <w:p>
      <w:pPr>
        <w:pStyle w:val="BodyText"/>
        <w:spacing w:before="0" w:after="120" w:line="250" w:lineRule="auto"/>
      </w:pPr>
      <w:r>
        <w:rPr>
          <w:color w:val="000000"/>
          <w:sz w:val="22"/>
        </w:rPr>
        <w:t>Canonical observation digests allow comparison of equivalent facts even when storage compression or pack layout differs. Storage-object hashes protect exact exported bytes; observation digests bind the declared canonical representation and scope. Both forms must be named explicitly. A Merkle root, if adopted, also requires a versioned leaf schema, deterministic ordering, tree construction and proof format. A root alone is not proof of complete coverage.</w:t>
      </w:r>
    </w:p>
    <w:p>
      <w:pPr>
        <w:pStyle w:val="BodyText"/>
        <w:spacing w:before="0" w:after="120" w:line="250" w:lineRule="auto"/>
      </w:pPr>
      <w:r>
        <w:rPr>
          <w:color w:val="000000"/>
          <w:sz w:val="22"/>
        </w:rPr>
        <w:t>Framework changes follow Chapters 26–28 and Appendix G. Changes to transport, signing or storage schemas have their own version and migration rules. An infrastructure update cannot silently introduce a metric or benchmark change. Unsupported versions are held for review or rejected; a receiver cannot reinterpret them as its preferred version. Compatibility mappings require published test vectors and approval.</w:t>
      </w:r>
    </w:p>
    <w:p>
      <w:pPr>
        <w:pStyle w:val="BodyText"/>
        <w:spacing w:before="0" w:after="120" w:line="250" w:lineRule="auto"/>
      </w:pPr>
      <w:r>
        <w:rPr>
          <w:color w:val="000000"/>
          <w:sz w:val="22"/>
        </w:rPr>
        <w:t>Private experimental calculations may continue under clearly distinct names and version identifiers. Official series must preserve the original series, correction reasons, approved recalculations and bridge records required by Sections 4.8, 6.4 and 28.2. This architecture amendment alone requires no historical score recalculation. A discovered evidence defect is handled under the existing revision process and must not be hidden as an infrastructure migration.</w:t>
      </w:r>
    </w:p>
    <w:p>
      <w:pPr>
        <w:pStyle w:val="Heading2"/>
        <w:keepNext/>
        <w:pBdr/>
        <w:pageBreakBefore/>
        <w:spacing w:before="100" w:after="120" w:line="250" w:lineRule="auto"/>
      </w:pPr>
      <w:r>
        <w:rPr>
          <w:color w:val="000000"/>
          <w:sz w:val="25"/>
        </w:rPr>
        <w:t>M.6 Signed publication contract</w:t>
      </w:r>
    </w:p>
    <w:p>
      <w:pPr>
        <w:pStyle w:val="BodyText"/>
        <w:spacing w:before="0" w:after="120" w:line="250" w:lineRule="auto"/>
      </w:pPr>
      <w:r>
        <w:rPr>
          <w:color w:val="000000"/>
          <w:sz w:val="22"/>
        </w:rPr>
        <w:t>Before public contribution, maintainers must freeze a machine-readable publication schema, canonical byte encoding, allowed algorithm profile and interoperable test vectors. The proposed baseline uses UTF-8 JSON canonicalisation under RFC 8785 [M1], with large integers and exact decimal quantities encoded as schema-constrained strings. Duplicate keys, malformed Unicode, non-finite values, ambiguous encodings and unknown critical fields must be rejected. This encoding choice does not change financial arithmetic.</w:t>
      </w:r>
    </w:p>
    <w:p>
      <w:pPr>
        <w:pStyle w:val="BodyText"/>
        <w:spacing w:before="0" w:after="120" w:line="250" w:lineRule="auto"/>
      </w:pPr>
      <w:r>
        <w:rPr>
          <w:color w:val="000000"/>
          <w:sz w:val="22"/>
        </w:rPr>
        <w:t>The signed body must include: protocol and schema version; message purpose and deployment environment; node and operator-control identity; key ID and algorithm; publication stream and monotonic sequence; previous publication hash or declared genesis; creation and expiry times; network and chain identity; coordinate range and finality anchor; observation and calculation times; metric IDs, values, units and precision; full methodology and software identities from M.5; coverage, gaps, freshness, VCS and existing publication status; evidence manifest and calculation hashes; source provenance and independence disclosures; retention and retrieval policy; and any superseded publication or dispute references.</w:t>
      </w:r>
    </w:p>
    <w:p>
      <w:pPr>
        <w:pStyle w:val="BodyText"/>
        <w:spacing w:before="0" w:after="120" w:line="250" w:lineRule="auto"/>
      </w:pPr>
      <w:r>
        <w:rPr>
          <w:color w:val="000000"/>
          <w:sz w:val="22"/>
        </w:rPr>
        <w:t>Use a published, unambiguous signing preimage that includes a Vox publication domain separator and the canonical body. The publication ID is a cryptographic digest of that preimage. Signatures are outside the body and bind that same ID; adding a countersignature cannot change it. A proposed initial algorithm profile is SHA-256 with Ed25519 signatures [M2], implemented with maintained libraries and reviewed test vectors. Acceptance of any profile remains subject to security review and the key-control requirements in Section 33.5.</w:t>
      </w:r>
    </w:p>
    <w:p>
      <w:pPr>
        <w:pStyle w:val="BodyText"/>
        <w:spacing w:before="0" w:after="120" w:line="250" w:lineRule="auto"/>
      </w:pPr>
      <w:r>
        <w:rPr>
          <w:color w:val="000000"/>
          <w:sz w:val="22"/>
        </w:rPr>
        <w:t>Evidence manifests enumerate required kinds, coordinate bindings, content hashes, object sizes, schema and encoding, finality information, source and acquisition metadata and export permissions. Missing, private, unavailable and licensed evidence are distinct states. Public releases must exclude secrets, local filesystem paths, provider credentials and private data. Evidence references must not become arbitrary fetch instructions for validators.</w:t>
      </w:r>
    </w:p>
    <w:p>
      <w:pPr>
        <w:pStyle w:val="BodyText"/>
        <w:spacing w:before="0" w:after="120" w:line="250" w:lineRule="auto"/>
      </w:pPr>
      <w:r>
        <w:rPr>
          <w:color w:val="000000"/>
          <w:sz w:val="22"/>
        </w:rPr>
        <w:t>The receiver validates trust metadata, signature, key scope, environment, expiry, chronology, sequence, supported versions and hashes before considering measurement correctness. Transport security is additional protection and does not replace the durable signature. A node’s signature attests to its claim; it does not prove the chain facts, grant official publication status or establish agreement.</w:t>
      </w:r>
    </w:p>
    <w:p>
      <w:pPr>
        <w:pStyle w:val="BodyText"/>
        <w:spacing w:before="0" w:after="120" w:line="250" w:lineRule="auto"/>
      </w:pPr>
      <w:r>
        <w:rPr>
          <w:color w:val="000000"/>
          <w:sz w:val="22"/>
        </w:rPr>
        <w:t>An exact retry is idempotent. Two bodies under the same node, stream and sequence are equivocation evidence and trigger quarantine. Old or out-of-order messages may be preserved for audit but cannot roll back the current view. Key rotation preserves stream continuity through a signed transition; restoring a backup cannot reset replay protection or reuse sequence numbers.</w:t>
      </w:r>
    </w:p>
    <w:p>
      <w:pPr>
        <w:pStyle w:val="Heading2"/>
        <w:keepNext/>
        <w:pBdr/>
        <w:pageBreakBefore/>
        <w:spacing w:before="100" w:after="120" w:line="250" w:lineRule="auto"/>
      </w:pPr>
      <w:r>
        <w:rPr>
          <w:color w:val="000000"/>
          <w:sz w:val="25"/>
        </w:rPr>
        <w:t>M.7 Outbound publication and cloud admission</w:t>
      </w:r>
    </w:p>
    <w:p>
      <w:pPr>
        <w:pStyle w:val="BodyText"/>
        <w:spacing w:before="0" w:after="120" w:line="250" w:lineRule="auto"/>
      </w:pPr>
      <w:r>
        <w:rPr>
          <w:color w:val="000000"/>
          <w:sz w:val="22"/>
        </w:rPr>
        <w:t>The node first creates a durable, immutable export package from a consistent local snapshot. A narrowly authorised publisher reads only the export spool and submits it over authenticated TLS to an allowlisted ingestion endpoint. Separate credentials apply to publication, source access and software updates. Mutual TLS or scoped short-lived credentials can authenticate transport; publication signatures remain independently verifiable after transport credentials expire.</w:t>
      </w:r>
    </w:p>
    <w:p>
      <w:pPr>
        <w:pStyle w:val="BodyText"/>
        <w:spacing w:before="0" w:after="120" w:line="250" w:lineRule="auto"/>
      </w:pPr>
      <w:r>
        <w:rPr>
          <w:color w:val="000000"/>
          <w:sz w:val="22"/>
        </w:rPr>
        <w:t>Publication uses a bounded durable outbox, retry backoff with jitter, explicit timeouts and quotas. The cloud acknowledges receipt only after durable storage of the exact publication ID. Receipt is separate from validation and acceptance. The node retains its local package until the documented acknowledgement and retention conditions are met. Queue exhaustion pauses export or reports a gap; it must not silently discard evidence or obstruct LIVE collection.</w:t>
      </w:r>
    </w:p>
    <w:p>
      <w:pPr>
        <w:pStyle w:val="BodyText"/>
        <w:spacing w:before="0" w:after="120" w:line="250" w:lineRule="auto"/>
      </w:pPr>
      <w:r>
        <w:rPr>
          <w:color w:val="000000"/>
          <w:sz w:val="22"/>
        </w:rPr>
        <w:t>The ingestion service verifies envelope limits and admission credentials, deduplicates exact retries and stores candidates in quarantine. It cannot update public scores directly. Isolated validators apply schema, signature, revocation, version, replay, finality, evidence, reproducibility and policy checks. A separate promotion identity can publish only a completed decision record and its approved immutable snapshot.</w:t>
      </w:r>
    </w:p>
    <w:p>
      <w:pPr>
        <w:pStyle w:val="BodyText"/>
        <w:spacing w:before="0" w:after="120" w:line="250" w:lineRule="auto"/>
      </w:pPr>
      <w:r>
        <w:rPr>
          <w:color w:val="000000"/>
          <w:sz w:val="22"/>
        </w:rPr>
        <w:t>Treat every package as hostile. Enforce compressed and expanded size limits, item counts, nesting depth, CPU, memory and execution deadlines. Reject unsafe archives, path traversal, executable content and unsupported schemas. Validators must not execute contributor-provided code; they use reviewed builds selected by approved digests. Requested evidence is served through scoped exports or approved mirrors, with no unrestricted URL fetching or access to cloud instance metadata and private networks.</w:t>
      </w:r>
    </w:p>
    <w:p>
      <w:pPr>
        <w:pStyle w:val="BodyText"/>
        <w:spacing w:before="0" w:after="120" w:line="250" w:lineRule="auto"/>
      </w:pPr>
      <w:r>
        <w:rPr>
          <w:color w:val="000000"/>
          <w:sz w:val="22"/>
        </w:rPr>
        <w:t>Transport failure, expired authentication and validation failure have different reason codes. Operators must see whether a package was queued, received, rejected, awaiting evidence, verified or accepted. Local valid evidence remains available even when the cloud rejects a contribution. Submission permission never allows the cloud to administer the node or modify its canonical evidence.</w:t>
      </w:r>
    </w:p>
    <w:p>
      <w:pPr>
        <w:pStyle w:val="BodyText"/>
        <w:spacing w:before="0" w:after="120" w:line="250" w:lineRule="auto"/>
      </w:pPr>
      <w:r>
        <w:rPr>
          <w:color w:val="000000"/>
          <w:sz w:val="22"/>
        </w:rPr>
        <w:t>Publication policy is versioned, signed and auditable. The pilot’s authorised maintainers must be named in the implementation register; a future DAO must not be described as making decisions before it exists. Promotion decisions record the active policy digest, applicable node set, evidence checks, verifier statements and reviewer approvals. Administrative override cannot turn an invalid candidate into a verified one.</w:t>
      </w:r>
    </w:p>
    <w:p>
      <w:pPr>
        <w:pStyle w:val="Heading2"/>
        <w:keepNext/>
        <w:pBdr/>
        <w:pageBreakBefore/>
        <w:spacing w:before="100" w:after="120" w:line="250" w:lineRule="auto"/>
      </w:pPr>
      <w:r>
        <w:rPr>
          <w:color w:val="000000"/>
          <w:sz w:val="25"/>
        </w:rPr>
        <w:t>M.8 Cross node verification and independence</w:t>
      </w:r>
    </w:p>
    <w:p>
      <w:pPr>
        <w:pStyle w:val="BodyText"/>
        <w:spacing w:before="0" w:after="120" w:line="250" w:lineRule="auto"/>
      </w:pPr>
      <w:r>
        <w:rPr>
          <w:color w:val="000000"/>
          <w:sz w:val="22"/>
        </w:rPr>
        <w:t>A verifier starts from an immutable candidate and its exact comparison scope. It checks the signature and authorisation, verifies the evidence commitments, obtains required evidence or independently collects the same finalized scope, reruns the approved calculation and compares intermediate and final results. Its signed statement binds the candidate ID, verifier identity, method, software and methodology digests, evidence actually inspected, outcome, precision, time and limitations.</w:t>
      </w:r>
    </w:p>
    <w:p>
      <w:pPr>
        <w:pStyle w:val="BodyText"/>
        <w:spacing w:before="0" w:after="120" w:line="250" w:lineRule="auto"/>
      </w:pPr>
      <w:r>
        <w:rPr>
          <w:color w:val="000000"/>
          <w:sz w:val="22"/>
        </w:rPr>
        <w:t>Verification levels must remain visible: signature checked; supplied evidence reproduced; independently acquired evidence reproduced; or partial verification with specified omissions. An operator that downloads and reruns another node’s data supplies useful calculation assurance but cannot claim independent acquisition. A replica or mirror supplies availability and integrity checks, not an independent observation merely because it has another hostname.</w:t>
      </w:r>
    </w:p>
    <w:p>
      <w:pPr>
        <w:pStyle w:val="BodyText"/>
        <w:spacing w:before="0" w:after="120" w:line="250" w:lineRule="auto"/>
      </w:pPr>
      <w:r>
        <w:rPr>
          <w:color w:val="000000"/>
          <w:sz w:val="22"/>
        </w:rPr>
        <w:t>The default comparison for deterministic canonical facts is exact equality. Declared precision governs reproduced numeric outputs. Tolerances for estimated or labelled inputs must come from the approved metric methodology and be fixed before comparison. A validator cannot widen a tolerance, average contradictory facts or drop outliers merely to obtain agreement. Such changes require the existing methodology process.</w:t>
      </w:r>
    </w:p>
    <w:p>
      <w:pPr>
        <w:pStyle w:val="BodyText"/>
        <w:spacing w:before="0" w:after="120" w:line="250" w:lineRule="auto"/>
      </w:pPr>
      <w:r>
        <w:rPr>
          <w:color w:val="000000"/>
          <w:sz w:val="22"/>
        </w:rPr>
        <w:t>A public record must disclose the number of eligible operators, their known common-control groups, acquisition dependencies, providers and verification scope. Different keys, machines, accounts, regions or cloud vendors do not prove different beneficial control or independent data. Unknown independence remains unknown. Anti-Sybil controls reduce risk; they do not establish that collusion is impossible.</w:t>
      </w:r>
    </w:p>
    <w:p>
      <w:pPr>
        <w:pStyle w:val="BodyText"/>
        <w:spacing w:before="0" w:after="120" w:line="250" w:lineRule="auto"/>
      </w:pPr>
      <w:r>
        <w:rPr>
          <w:color w:val="000000"/>
          <w:sz w:val="22"/>
        </w:rPr>
        <w:t>Before a pilot, approve an acceptance profile specifying the minimum independently controlled operators, required verification levels, common-source concentration limits, deadlines, eligible methodology versions and conflict rules. These parameters are operational gates, not changes to economic metrics. No universal numeric quorum is invented by this amendment. Until the profile is approved and its evidence exists, cross-node assurance cannot be advertised as satisfied.</w:t>
      </w:r>
    </w:p>
    <w:p>
      <w:pPr>
        <w:pStyle w:val="BodyText"/>
        <w:spacing w:before="0" w:after="120" w:line="250" w:lineRule="auto"/>
      </w:pPr>
      <w:r>
        <w:rPr>
          <w:color w:val="000000"/>
          <w:sz w:val="22"/>
        </w:rPr>
        <w:t>Agreement contributes evidence under Sections 6.2, 17 and 21. It does not automatically raise VCS or confer official status. Even unanimous nodes can share a defective adapter or upstream source. Retain adversarial fixtures, diverse acquisition, independent review and public reproducibility. This architecture describes federated publication and verification; it does not specify a Byzantine consensus protocol, global ledger, fork-choice algorithm or economic finality mechanism.</w:t>
      </w:r>
    </w:p>
    <w:p>
      <w:pPr>
        <w:pStyle w:val="Heading2"/>
        <w:keepNext/>
        <w:pBdr/>
        <w:pageBreakBefore/>
        <w:spacing w:before="100" w:after="120" w:line="250" w:lineRule="auto"/>
      </w:pPr>
      <w:r>
        <w:rPr>
          <w:color w:val="000000"/>
          <w:sz w:val="25"/>
        </w:rPr>
        <w:t>M.9 Disagreement and fail closed decisions</w:t>
      </w:r>
    </w:p>
    <w:p>
      <w:pPr>
        <w:pStyle w:val="BodyText"/>
        <w:spacing w:before="0" w:after="120" w:line="250" w:lineRule="auto"/>
      </w:pPr>
      <w:r>
        <w:rPr>
          <w:color w:val="000000"/>
          <w:sz w:val="22"/>
        </w:rPr>
        <w:t>The admission workflow uses operational states: received, quarantined, checking, verified for a stated scope, accepted for publication, rejected, disputed and superseded. These states are separate from Edition 3.1 publication bands and adapter certification states. Passing admission checks does not bypass Chapter 17, and a rejected transport message does not itself lower a measured blockchain’s economic performance.</w:t>
      </w:r>
    </w:p>
    <w:p>
      <w:pPr>
        <w:pStyle w:val="BodyText"/>
        <w:spacing w:before="0" w:after="120" w:line="250" w:lineRule="auto"/>
      </w:pPr>
      <w:r>
        <w:rPr>
          <w:color w:val="000000"/>
          <w:sz w:val="22"/>
        </w:rPr>
        <w:t>A mismatch is classified before resolution. Check network identity, finality anchor, time window, evidence availability, provider and source revisions, methodology and benchmark versions, units, rounding, calculation bugs and possible equivocation. A different finalized hash is a material chain-view conflict requiring the adapter’s reconciliation rules, not a vote on which byte string to prefer.</w:t>
      </w:r>
    </w:p>
    <w:p>
      <w:pPr>
        <w:pStyle w:val="BodyText"/>
        <w:spacing w:before="0" w:after="120" w:line="250" w:lineRule="auto"/>
      </w:pPr>
      <w:r>
        <w:rPr>
          <w:color w:val="000000"/>
          <w:sz w:val="22"/>
        </w:rPr>
        <w:t>Preserve both signed claims and their evidence references, open a linked dispute and identify affected metrics, intervals and downstream snapshots. Seek independent reproduction and publish the decision and rationale under Chapter 28. Material unresolved disagreement blocks new official promotion for the affected scope. Minority evidence is not deleted. A numerical majority cannot overrule a reproducible integrity defect.</w:t>
      </w:r>
    </w:p>
    <w:p>
      <w:pPr>
        <w:pStyle w:val="BodyText"/>
        <w:spacing w:before="0" w:after="120" w:line="250" w:lineRule="auto"/>
      </w:pPr>
      <w:r>
        <w:rPr>
          <w:color w:val="000000"/>
          <w:sz w:val="22"/>
        </w:rPr>
        <w:t>On failed validation, stop promotion. On unavailable evidence, mark the check incomplete. On insufficient independent participants or expired trust metadata, report insufficient assurance. On a partition, retain candidates locally and reconcile after connectivity returns; do not reduce the acceptance threshold automatically. Unknown, timeout and exception states cannot become PASS, zero defects or neutral economic values.</w:t>
      </w:r>
    </w:p>
    <w:p>
      <w:pPr>
        <w:pStyle w:val="BodyText"/>
        <w:spacing w:before="0" w:after="120" w:line="250" w:lineRule="auto"/>
      </w:pPr>
      <w:r>
        <w:rPr>
          <w:color w:val="000000"/>
          <w:sz w:val="22"/>
        </w:rPr>
        <w:t>The public service may continue to return the last valid historical snapshot with its original observation time, calculation time and status, together with a current stale, disputed, revoked or unavailable flag. A known compromised snapshot cannot remain labelled valid merely because it is the newest one. If no defensible current result exists, the current endpoint reports unavailable and links to historical records with their actual status.</w:t>
      </w:r>
    </w:p>
    <w:p>
      <w:pPr>
        <w:pStyle w:val="BodyText"/>
        <w:spacing w:before="0" w:after="120" w:line="250" w:lineRule="auto"/>
      </w:pPr>
      <w:r>
        <w:rPr>
          <w:color w:val="000000"/>
          <w:sz w:val="22"/>
        </w:rPr>
        <w:t>Freshness expires according to the metric and publication policy, independently of whether the website is reachable. Missing current data must not be fabricated through interpolation or cached timestamps. Sensitive downstream automation must reject expired, disputed or withdrawn eligibility. Optional oracle or market layers remain subject to their existing stricter gates and are not activated here.</w:t>
      </w:r>
    </w:p>
    <w:p>
      <w:pPr>
        <w:pStyle w:val="BodyText"/>
        <w:spacing w:before="0" w:after="120" w:line="250" w:lineRule="auto"/>
      </w:pPr>
      <w:r>
        <w:rPr>
          <w:color w:val="000000"/>
          <w:sz w:val="22"/>
        </w:rPr>
        <w:t>Corrections create new publication IDs with a reason, affected scope and predecessor link. Historical bytes and decisions remain auditable. A cloud index may update its current pointer atomically after validation, but cannot rewrite a past signed manifest. Recovery requires the failed checks to pass again, review of material incidents and explicit restoration of eligibility.</w:t>
      </w:r>
    </w:p>
    <w:p>
      <w:pPr>
        <w:pStyle w:val="Heading2"/>
        <w:keepNext/>
        <w:pBdr/>
        <w:pageBreakBefore/>
        <w:spacing w:before="100" w:after="120" w:line="250" w:lineRule="auto"/>
      </w:pPr>
      <w:r>
        <w:rPr>
          <w:color w:val="000000"/>
          <w:sz w:val="25"/>
        </w:rPr>
        <w:t>M.10 Node identity admission and anti Sybil controls</w:t>
      </w:r>
    </w:p>
    <w:p>
      <w:pPr>
        <w:pStyle w:val="BodyText"/>
        <w:spacing w:before="0" w:after="120" w:line="250" w:lineRule="auto"/>
      </w:pPr>
      <w:r>
        <w:rPr>
          <w:color w:val="000000"/>
          <w:sz w:val="22"/>
        </w:rPr>
        <w:t>A node identity consists of a stable node identifier, authorised keys, operator-control group, permitted roles and scopes, software compatibility, validity interval and status. Network identity is separately bound to canonical chain identifiers and anchors. Possession of a node key proves control of that key; it does not prove a unique person, independent organisation, physical appliance or honest measurement.</w:t>
      </w:r>
    </w:p>
    <w:p>
      <w:pPr>
        <w:pStyle w:val="BodyText"/>
        <w:spacing w:before="0" w:after="120" w:line="250" w:lineRule="auto"/>
      </w:pPr>
      <w:r>
        <w:rPr>
          <w:color w:val="000000"/>
          <w:sz w:val="22"/>
        </w:rPr>
        <w:t>The first network stage uses transparent, permissioned contributor admission. Anyone may operate privately or reproduce public data; official contribution and counting toward assurance require documented enrolment. Publish the admission criteria, responsible authority, reasons for rejection and appeal route. Do not market this curated phase as permissionless decentralization.</w:t>
      </w:r>
    </w:p>
    <w:p>
      <w:pPr>
        <w:pStyle w:val="BodyText"/>
        <w:spacing w:before="0" w:after="120" w:line="250" w:lineRule="auto"/>
      </w:pPr>
      <w:r>
        <w:rPr>
          <w:color w:val="000000"/>
          <w:sz w:val="22"/>
        </w:rPr>
        <w:t>Admission requires proof of key possession, operator and conflict disclosure proportionate to the role, source-dependency disclosure, supported software, successful conformance and failure tests, historical integrity evidence and a documented retention commitment. Public identities may use stable pseudonyms, but unverifiable common control must not be credited as demonstrated independence. Private personal details should be minimised and kept outside public manifests.</w:t>
      </w:r>
    </w:p>
    <w:p>
      <w:pPr>
        <w:pStyle w:val="BodyText"/>
        <w:spacing w:before="0" w:after="120" w:line="250" w:lineRule="auto"/>
      </w:pPr>
      <w:r>
        <w:rPr>
          <w:color w:val="000000"/>
          <w:sz w:val="22"/>
        </w:rPr>
        <w:t>Count corroboration by independently assessed control group and acquisition path, not raw node or signature count. Enforce per-operator limits, registration throttles, resource quotas and probation. Monitor correlated behaviour, repeated byte-identical provenance, key churn and coordinated submission patterns. Reputation may inform scrutiny; it cannot replace evidence, confer permanent immunity or make a paid account count as multiple independent parties.</w:t>
      </w:r>
    </w:p>
    <w:p>
      <w:pPr>
        <w:pStyle w:val="BodyText"/>
        <w:spacing w:before="0" w:after="120" w:line="250" w:lineRule="auto"/>
      </w:pPr>
      <w:r>
        <w:rPr>
          <w:color w:val="000000"/>
          <w:sz w:val="22"/>
        </w:rPr>
        <w:t>Node states are pending, active for explicit scopes, restricted, suspended, revoked and retired. A signed, versioned registry records changes, effective time, reason, authority and evidence references. Changes to identities and eligibility require separated approval roles and an auditable history. Verifiers pin the trust root and record the registry version used. Unknown identities or stale registry state fail closed for new acceptance.</w:t>
      </w:r>
    </w:p>
    <w:p>
      <w:pPr>
        <w:pStyle w:val="BodyText"/>
        <w:spacing w:before="0" w:after="120" w:line="250" w:lineRule="auto"/>
      </w:pPr>
      <w:r>
        <w:rPr>
          <w:color w:val="000000"/>
          <w:sz w:val="22"/>
        </w:rPr>
        <w:t>The registry and admission authority are central dependencies during the pilot and must be disclosed as such. Later governance may distribute their control only after tested transition and recovery procedures. Open admission would require a separately reviewed anti-Sybil and incentive design. This appendix creates no token, staking, reward or slashing mechanism and assumes none exists.</w:t>
      </w:r>
    </w:p>
    <w:p>
      <w:pPr>
        <w:pStyle w:val="BodyText"/>
        <w:spacing w:before="0" w:after="120" w:line="250" w:lineRule="auto"/>
      </w:pPr>
      <w:r>
        <w:rPr>
          <w:color w:val="000000"/>
          <w:sz w:val="22"/>
        </w:rPr>
        <w:t>Ownership of many boxes, payments, geographic distribution and use of multiple cloud accounts must not be advertised as proven decentralization. Public network claims must state measured operator diversity, source concentration, governance control and the remaining common failure domains.</w:t>
      </w:r>
    </w:p>
    <w:p>
      <w:pPr>
        <w:pStyle w:val="Heading2"/>
        <w:keepNext/>
        <w:pBdr/>
        <w:pageBreakBefore/>
        <w:spacing w:before="100" w:after="120" w:line="250" w:lineRule="auto"/>
      </w:pPr>
      <w:r>
        <w:rPr>
          <w:color w:val="000000"/>
          <w:sz w:val="25"/>
        </w:rPr>
        <w:t>M.11 Key custody rotation and revocation</w:t>
      </w:r>
    </w:p>
    <w:p>
      <w:pPr>
        <w:pStyle w:val="BodyText"/>
        <w:spacing w:before="0" w:after="120" w:line="250" w:lineRule="auto"/>
      </w:pPr>
      <w:r>
        <w:rPr>
          <w:color w:val="000000"/>
          <w:sz w:val="22"/>
        </w:rPr>
        <w:t>Keep node identity, publication signing, transport authentication, software release, registry administration, governance and economic-layer keys separate. Public API servers and billing systems hold no node publication keys. Use least-privilege scopes, hardware-backed protection where available, protected signing interfaces and encrypted offline recovery material. Local administrators must know which keys can sign which purposes and environments.</w:t>
      </w:r>
    </w:p>
    <w:p>
      <w:pPr>
        <w:pStyle w:val="BodyText"/>
        <w:spacing w:before="0" w:after="120" w:line="250" w:lineRule="auto"/>
      </w:pPr>
      <w:r>
        <w:rPr>
          <w:color w:val="000000"/>
          <w:sz w:val="22"/>
        </w:rPr>
        <w:t>Section 33.5 remains binding: publishing, governance and economic-layer keys require threshold signatures or multi-party control. An unattended contributor must implement a reviewed policy that satisfies this requirement; an isolated hot key on a box does not qualify by itself. A node may emit individually signed experimental observations, but they cannot be represented as compliant official publications merely because several such nodes agree.</w:t>
      </w:r>
    </w:p>
    <w:p>
      <w:pPr>
        <w:pStyle w:val="BodyText"/>
        <w:spacing w:before="0" w:after="120" w:line="250" w:lineRule="auto"/>
      </w:pPr>
      <w:r>
        <w:rPr>
          <w:color w:val="000000"/>
          <w:sz w:val="22"/>
        </w:rPr>
        <w:t>The signing service verifies the immutable package digest, authorised scope, approved software and policy, sequence and expiry before releasing a signature. It must not sign arbitrary bytes requested by a collector or cloud service. Recovery and changes to signing policy require separate authorisation and an audit record. Logging must exclude private keys and authentication secrets.</w:t>
      </w:r>
    </w:p>
    <w:p>
      <w:pPr>
        <w:pStyle w:val="BodyText"/>
        <w:spacing w:before="0" w:after="120" w:line="250" w:lineRule="auto"/>
      </w:pPr>
      <w:r>
        <w:rPr>
          <w:color w:val="000000"/>
          <w:sz w:val="22"/>
        </w:rPr>
        <w:t>Rotation publishes a new key binding with a bounded overlap, explicit effective times and proof of possession. Where the old key is uncompromised, use authenticated transition records; otherwise use the documented recovery authority and independent approvals. Maintain durable stream counters and previous-publication links across rotation, reinstallation and backup restore. Decommissioned devices lose both transport credentials and publication authorisation.</w:t>
      </w:r>
    </w:p>
    <w:p>
      <w:pPr>
        <w:pStyle w:val="BodyText"/>
        <w:spacing w:before="0" w:after="120" w:line="250" w:lineRule="auto"/>
      </w:pPr>
      <w:r>
        <w:rPr>
          <w:color w:val="000000"/>
          <w:sz w:val="22"/>
        </w:rPr>
        <w:t>Revocation metadata is signed, versioned, expiring and mirrored. Record affected keys and scopes, reason, known or suspected compromise interval, effective action, superseding keys and linked incident records. Receivers must check sufficiently fresh metadata before new acceptance. Unavailable revocation service does not imply “not revoked”; continue historical reads with status disclosure and stop new promotion when the validity window expires.</w:t>
      </w:r>
    </w:p>
    <w:p>
      <w:pPr>
        <w:pStyle w:val="BodyText"/>
        <w:spacing w:before="0" w:after="120" w:line="250" w:lineRule="auto"/>
      </w:pPr>
      <w:r>
        <w:rPr>
          <w:color w:val="000000"/>
          <w:sz w:val="22"/>
        </w:rPr>
        <w:t>Revocation prevents future eligibility but does not erase signatures or automatically prove all earlier data false. Review publications within the possible compromise interval. A signer’s timestamp cannot establish that a signature predates key theft; independently recorded receipt or transparency timestamps and investigation evidence are needed. Preserve cryptographic validity separately from current authorisation and assessed trustworthiness.</w:t>
      </w:r>
    </w:p>
    <w:p>
      <w:pPr>
        <w:pStyle w:val="BodyText"/>
        <w:spacing w:before="0" w:after="120" w:line="250" w:lineRule="auto"/>
      </w:pPr>
      <w:r>
        <w:rPr>
          <w:color w:val="000000"/>
          <w:sz w:val="22"/>
        </w:rPr>
        <w:t>Exercise key-loss, compromised-signer, unavailable-approver and root-recovery scenarios before launch. Recovery cannot bypass threshold policy or silently restore a revoked key. Trust-root replacement requires authenticated continuity or a clearly disclosed manual rebootstrap with operator approval; a cloud response alone cannot choose a new root.</w:t>
      </w:r>
    </w:p>
    <w:p>
      <w:pPr>
        <w:pStyle w:val="Heading2"/>
        <w:keepNext/>
        <w:pBdr/>
        <w:pageBreakBefore/>
        <w:spacing w:before="100" w:after="120" w:line="250" w:lineRule="auto"/>
      </w:pPr>
      <w:r>
        <w:rPr>
          <w:color w:val="000000"/>
          <w:sz w:val="25"/>
        </w:rPr>
        <w:t>M.12 Node software and update security</w:t>
      </w:r>
    </w:p>
    <w:p>
      <w:pPr>
        <w:pStyle w:val="BodyText"/>
        <w:spacing w:before="0" w:after="120" w:line="250" w:lineRule="auto"/>
      </w:pPr>
      <w:r>
        <w:rPr>
          <w:color w:val="000000"/>
          <w:sz w:val="22"/>
        </w:rPr>
        <w:t>Appliances must start from verified installation media and an authenticated release manifest. Use supported operating systems, minimal exposed services, unique credentials, least-privilege service accounts, encrypted storage where appropriate and secure boot where supported. Separate collectors, measurement, signing, export and local administration. Network access and filesystem permissions must reflect each role’s actual needs.</w:t>
      </w:r>
    </w:p>
    <w:p>
      <w:pPr>
        <w:pStyle w:val="BodyText"/>
        <w:spacing w:before="0" w:after="120" w:line="250" w:lineRule="auto"/>
      </w:pPr>
      <w:r>
        <w:rPr>
          <w:color w:val="000000"/>
          <w:sz w:val="22"/>
        </w:rPr>
        <w:t>Local administration binds to loopback or an explicitly configured private management network. Require strong authentication and session protection; use MFA for remote administration where supported. No default shared passwords, automatic router port mapping or vendor maintenance tunnel is permitted. Operator-approved support access must be scoped, time-limited, recorded and revocable. Shipping an appliance must not give the supplier permanent access to evidence or keys.</w:t>
      </w:r>
    </w:p>
    <w:p>
      <w:pPr>
        <w:pStyle w:val="BodyText"/>
        <w:spacing w:before="0" w:after="120" w:line="250" w:lineRule="auto"/>
      </w:pPr>
      <w:r>
        <w:rPr>
          <w:color w:val="000000"/>
          <w:sz w:val="22"/>
        </w:rPr>
        <w:t>Release security follows the existing signed-artifact, pinned-dependency, review, build-digest and SBOM requirements in Section 33.3. Implement a documented vulnerability response process, dependency monitoring, reproducible-build checks where feasible and separation between build, review and release authority. The NIST SSDF [M3] provides supporting secure-development guidance; use of that guidance is not certification.</w:t>
      </w:r>
    </w:p>
    <w:p>
      <w:pPr>
        <w:pStyle w:val="BodyText"/>
        <w:spacing w:before="0" w:after="120" w:line="250" w:lineRule="auto"/>
      </w:pPr>
      <w:r>
        <w:rPr>
          <w:color w:val="000000"/>
          <w:sz w:val="22"/>
        </w:rPr>
        <w:t>The update channel must authenticate both packages and freshness metadata, use separated signing roles and enforce version and expiry checks. TUF [M4] provides a reference design for protecting update metadata against rollback and freeze attacks. The implementation must pin its trusted root and verify the complete metadata chain; a package signature alone is insufficient protection against replaying a vulnerable old release.</w:t>
      </w:r>
    </w:p>
    <w:p>
      <w:pPr>
        <w:pStyle w:val="BodyText"/>
        <w:spacing w:before="0" w:after="120" w:line="250" w:lineRule="auto"/>
      </w:pPr>
      <w:r>
        <w:rPr>
          <w:color w:val="000000"/>
          <w:sz w:val="22"/>
        </w:rPr>
        <w:t>Updates are staged through conformance tests and a limited canary group. Store-format changes require a tested migration, consistent backup, disk-space check and recovery plan. Quiesce the canonical writer before migrations that require exclusive ownership. Reconcile the production reader, checkpoints and signing state before resuming publication. Interrupted updates must leave a recoverable installation without advancing an unverified checkpoint.</w:t>
      </w:r>
    </w:p>
    <w:p>
      <w:pPr>
        <w:pStyle w:val="BodyText"/>
        <w:spacing w:before="0" w:after="120" w:line="250" w:lineRule="auto"/>
      </w:pPr>
      <w:r>
        <w:rPr>
          <w:color w:val="000000"/>
          <w:sz w:val="22"/>
        </w:rPr>
        <w:t>Operators may schedule updates, but outdated or vulnerable nodes can lose contribution eligibility under a published policy. Updates cannot silently alter participation mode, methodology, trust roots, export scope or payment requirements. A binary rollback is permitted only to an authorised safe version with a compatible store. An incompatible migration requires restoration and replay; anti-rollback security must not be disabled to make recovery convenient.</w:t>
      </w:r>
    </w:p>
    <w:p>
      <w:pPr>
        <w:pStyle w:val="BodyText"/>
        <w:spacing w:before="0" w:after="120" w:line="250" w:lineRule="auto"/>
      </w:pPr>
      <w:r>
        <w:rPr>
          <w:color w:val="000000"/>
          <w:sz w:val="22"/>
        </w:rPr>
        <w:t>On suspected compromise, isolate publication and signing, preserve evidence and logs, revoke credentials, assess the affected interval and rebuild from trusted media. Reinstate participation only after independent checks. Fleet metrics must distinguish node software integrity, evidence integrity, source failures and service availability; a green process-health indicator cannot stand in for all four.</w:t>
      </w:r>
    </w:p>
    <w:p>
      <w:pPr>
        <w:pStyle w:val="Heading2"/>
        <w:keepNext/>
        <w:pBdr/>
        <w:pageBreakBefore/>
        <w:spacing w:before="100" w:after="120" w:line="250" w:lineRule="auto"/>
      </w:pPr>
      <w:r>
        <w:rPr>
          <w:color w:val="000000"/>
          <w:sz w:val="25"/>
        </w:rPr>
        <w:t>M.13 Availability failover and disaster recovery</w:t>
      </w:r>
    </w:p>
    <w:p>
      <w:pPr>
        <w:pStyle w:val="BodyText"/>
        <w:spacing w:before="0" w:after="120" w:line="250" w:lineRule="auto"/>
      </w:pPr>
      <w:r>
        <w:rPr>
          <w:color w:val="000000"/>
          <w:sz w:val="22"/>
        </w:rPr>
        <w:t>Vox Cloud is intended to operate continuously, while the freshness of measurements depends on collectors, sources, validation and policy gates. “24/7” is an operating objective, not a guarantee of uninterrupted service or current data. A reachable dashboard serving yesterday’s snapshot is an available presentation service with stale measurements. Report these conditions separately.</w:t>
      </w:r>
    </w:p>
    <w:p>
      <w:pPr>
        <w:pStyle w:val="BodyText"/>
        <w:spacing w:before="0" w:after="120" w:line="250" w:lineRule="auto"/>
      </w:pPr>
      <w:r>
        <w:rPr>
          <w:color w:val="000000"/>
          <w:sz w:val="22"/>
        </w:rPr>
        <w:t>Deploy the frontend through a managed CDN and replicated static assets. Run stateless read API instances across independent failure zones, with health-based routing, capacity limits and DDoS controls. Store immutable accepted packages in versioned durable object storage with tested replication and recoverable backups. Replicate policy, decision and revocation records as well as measurement data. A cached snapshot without current status metadata must not appear newly verified.</w:t>
      </w:r>
    </w:p>
    <w:p>
      <w:pPr>
        <w:pStyle w:val="BodyText"/>
        <w:spacing w:before="0" w:after="120" w:line="250" w:lineRule="auto"/>
      </w:pPr>
      <w:r>
        <w:rPr>
          <w:color w:val="000000"/>
          <w:sz w:val="22"/>
        </w:rPr>
        <w:t>Use durable ingestion queues, idempotent validators and atomic promotion of a complete snapshot manifest. A result must never combine metric pages, evidence or methodology files from different snapshot IDs. Failover readers verify object digests and manifest consistency. Promotion services require enforced single ownership or safe transactional coordination; loss of a majority in that coordination service stops promotion rather than allowing competing current pointers.</w:t>
      </w:r>
    </w:p>
    <w:p>
      <w:pPr>
        <w:pStyle w:val="BodyText"/>
        <w:spacing w:before="0" w:after="120" w:line="250" w:lineRule="auto"/>
      </w:pPr>
      <w:r>
        <w:rPr>
          <w:color w:val="000000"/>
          <w:sz w:val="22"/>
        </w:rPr>
        <w:t>Collector redundancy normally uses another node’s independently owned store. A standby taking over the same canonical store is a different operation: it must fence the previous writer, recover the commit journal and replay safely before acquiring ownership. If old-writer exclusion cannot be proven, the standby must not write. Geographic redundancy cannot override one-writer-per-lane rules.</w:t>
      </w:r>
    </w:p>
    <w:p>
      <w:pPr>
        <w:pStyle w:val="BodyText"/>
        <w:spacing w:before="0" w:after="120" w:line="250" w:lineRule="auto"/>
      </w:pPr>
      <w:r>
        <w:rPr>
          <w:color w:val="000000"/>
          <w:sz w:val="22"/>
        </w:rPr>
        <w:t>For a cloud outage, nodes continue local collection within storage limits and retain outbound packages. For a node outage, the cloud may serve already accepted snapshots and accept other eligible contributors only under unchanged policy. For a source outage, preserve gaps and measured freshness. Backlog recovery must retain LIVE priority and bounded REPAIR and publication traffic.</w:t>
      </w:r>
    </w:p>
    <w:p>
      <w:pPr>
        <w:pStyle w:val="BodyText"/>
        <w:spacing w:before="0" w:after="120" w:line="250" w:lineRule="auto"/>
      </w:pPr>
      <w:r>
        <w:rPr>
          <w:color w:val="000000"/>
          <w:sz w:val="22"/>
        </w:rPr>
        <w:t>Before public launch, publish measured objectives and an error-budget policy for API availability, end-to-end publication latency, metric freshness, recovery time and maximum acceptable data loss. Numerical SLOs, RTOs and RPOs require workload and recovery evidence; this amendment does not invent achieved values or a contractual SLA. Backup age and replication lag must be visible to operators.</w:t>
      </w:r>
    </w:p>
    <w:p>
      <w:pPr>
        <w:pStyle w:val="BodyText"/>
        <w:spacing w:before="0" w:after="120" w:line="250" w:lineRule="auto"/>
      </w:pPr>
      <w:r>
        <w:rPr>
          <w:color w:val="000000"/>
          <w:sz w:val="22"/>
        </w:rPr>
        <w:t>Test zone loss, region loss, cloud account compromise, certificate expiry, disk exhaustion, queue overload, source loss, key service failure and loss of the primary operator. Perform isolated restores and prove reader servability, sequence continuity and reconciliation. Maintain alert ownership, on-call cover, incident communications, capacity planning and scheduled recovery drills. Backups that have never been restored are not demonstrated recovery capability.</w:t>
      </w:r>
    </w:p>
    <w:p>
      <w:pPr>
        <w:pStyle w:val="Heading2"/>
        <w:keepNext/>
        <w:pBdr/>
        <w:pageBreakBefore/>
        <w:spacing w:before="100" w:after="120" w:line="250" w:lineRule="auto"/>
      </w:pPr>
      <w:r>
        <w:rPr>
          <w:color w:val="000000"/>
          <w:sz w:val="25"/>
        </w:rPr>
        <w:t>M.14 Cloud dashboard and access architecture</w:t>
      </w:r>
    </w:p>
    <w:p>
      <w:pPr>
        <w:pStyle w:val="BodyText"/>
        <w:spacing w:before="0" w:after="120" w:line="250" w:lineRule="auto"/>
      </w:pPr>
      <w:r>
        <w:rPr>
          <w:color w:val="000000"/>
          <w:sz w:val="22"/>
        </w:rPr>
        <w:t>Separate four cloud domains: public presentation; candidate ingestion and validation; administration and trust policy; and customer accounts and billing. Each uses distinct service identities, secrets and network permissions. The public frontend and read API expose approved snapshots and bounded read queries only. Submission, dispute filing and account changes use separately authenticated write services with no direct authority over canonical evidence or score promotion.</w:t>
      </w:r>
    </w:p>
    <w:p>
      <w:pPr>
        <w:pStyle w:val="BodyText"/>
        <w:spacing w:before="0" w:after="120" w:line="250" w:lineRule="auto"/>
      </w:pPr>
      <w:r>
        <w:rPr>
          <w:color w:val="000000"/>
          <w:sz w:val="22"/>
        </w:rPr>
        <w:t>Use managed TLS, protected DNS and registrar access, controlled certificate renewal, request limits, defensive browser headers and a content security policy. Test authentication, authorisation, session expiry, injection resistance and tenant isolation. Customer support and billing staff must not be able to alter node identities, publication status or scientific calculations through their account tools.</w:t>
      </w:r>
    </w:p>
    <w:p>
      <w:pPr>
        <w:pStyle w:val="BodyText"/>
        <w:spacing w:before="0" w:after="120" w:line="250" w:lineRule="auto"/>
      </w:pPr>
      <w:r>
        <w:rPr>
          <w:color w:val="000000"/>
          <w:sz w:val="22"/>
        </w:rPr>
        <w:t>The dashboard must show snapshot ID, network scope, observation and calculation times, freshness, coverage and gaps, methodology and adapter versions, existing publication band, VCS, dispute and revocation status and verification scope. It should identify the number of independently assessed operator groups and important common dependencies rather than displaying an unexplained “verified by N nodes” badge.</w:t>
      </w:r>
    </w:p>
    <w:p>
      <w:pPr>
        <w:pStyle w:val="BodyText"/>
        <w:spacing w:before="0" w:after="120" w:line="250" w:lineRule="auto"/>
      </w:pPr>
      <w:r>
        <w:rPr>
          <w:color w:val="000000"/>
          <w:sz w:val="22"/>
        </w:rPr>
        <w:t>Evidence exploration links to manifests, provenance, permitted evidence packages, calculation instructions and signed verification statements. Clearly distinguish bytes mirrored from a contributor from evidence independently acquired by a verifier. Availability and retrieval failures must be visible. A licensed or private source cannot become the sole inaccessible foundation of a public canonical score, consistent with Sections 6.1 and 30.5–30.6.</w:t>
      </w:r>
    </w:p>
    <w:p>
      <w:pPr>
        <w:pStyle w:val="BodyText"/>
        <w:spacing w:before="0" w:after="120" w:line="250" w:lineRule="auto"/>
      </w:pPr>
      <w:r>
        <w:rPr>
          <w:color w:val="000000"/>
          <w:sz w:val="22"/>
        </w:rPr>
        <w:t>Cache immutable snapshots by content identity. Current-result pointers and trust-status responses have bounded freshness and explicit cache policies. Personalised or paid responses must not leak through shared caches. Cache invalidation and emergency status delivery must be exercised so a compromised or disputed result does not remain displayed as current at a CDN edge. Client clocks alone cannot determine trusted expiry.</w:t>
      </w:r>
    </w:p>
    <w:p>
      <w:pPr>
        <w:pStyle w:val="BodyText"/>
        <w:spacing w:before="0" w:after="120" w:line="250" w:lineRule="auto"/>
      </w:pPr>
      <w:r>
        <w:rPr>
          <w:color w:val="000000"/>
          <w:sz w:val="22"/>
        </w:rPr>
        <w:t>Public read credentials cannot submit candidate data. Contributor credentials cannot read customer records. Billing webhooks are authenticated, deduplicated and limited to entitlements. Entitlements govern service capacity and features, never the result’s value, VCS, admission independence or scientific status. A lapsed subscription cannot rewrite published history or revoke an otherwise eligible scientific contribution.</w:t>
      </w:r>
    </w:p>
    <w:p>
      <w:pPr>
        <w:pStyle w:val="BodyText"/>
        <w:spacing w:before="0" w:after="120" w:line="250" w:lineRule="auto"/>
      </w:pPr>
      <w:r>
        <w:rPr>
          <w:color w:val="000000"/>
          <w:sz w:val="22"/>
        </w:rPr>
        <w:t>Publish operational status and incident notices through a separately maintained channel. API clients must be able to distinguish transport availability, stale historical output, unavailable current measurement and an active dispute. A friendly dashboard must not conceal uncertainty that is visible only through a specialist API.</w:t>
      </w:r>
    </w:p>
    <w:p>
      <w:pPr>
        <w:pStyle w:val="Heading2"/>
        <w:keepNext/>
        <w:pBdr/>
        <w:pageBreakBefore/>
        <w:spacing w:before="100" w:after="120" w:line="250" w:lineRule="auto"/>
      </w:pPr>
      <w:r>
        <w:rPr>
          <w:color w:val="000000"/>
          <w:sz w:val="25"/>
        </w:rPr>
        <w:t>M.15 Subscription and service tiers</w:t>
      </w:r>
    </w:p>
    <w:p>
      <w:pPr>
        <w:pStyle w:val="BodyText"/>
        <w:spacing w:before="0" w:after="120" w:line="250" w:lineRule="auto"/>
      </w:pPr>
      <w:r>
        <w:rPr>
          <w:color w:val="000000"/>
          <w:sz w:val="22"/>
        </w:rPr>
        <w:t>Cloud services and Vox in a Box serve complementary purposes. Cloud tiers fund hosted convenience, compute and support. A box supplies operator-controlled collection and verification. They may be bought together or used independently. The following tiers are a proposed service model, not existing products, prices, capacity commitments or SLAs.</w:t>
      </w:r>
    </w:p>
    <w:p>
      <w:pPr>
        <w:pStyle w:val="BodyText"/>
        <w:spacing w:before="0" w:after="120" w:line="250" w:lineRule="auto"/>
      </w:pPr>
      <w:r>
        <w:rPr>
          <w:color w:val="000000"/>
          <w:sz w:val="22"/>
        </w:rPr>
        <w:t>Public access. Provide canonical public score snapshots, methodology, status and provenance, reasonable read API access, reproduction materials, public challenges and bulk-access arrangements consistent with licensing and abuse controls. Foundational verification cannot depend on a premium login. Public distribution must contain enough lawful evidence and instructions to satisfy the canonical reproducibility requirements.</w:t>
      </w:r>
    </w:p>
    <w:p>
      <w:pPr>
        <w:pStyle w:val="BodyText"/>
        <w:spacing w:before="0" w:after="120" w:line="250" w:lineRule="auto"/>
      </w:pPr>
      <w:r>
        <w:rPr>
          <w:color w:val="000000"/>
          <w:sz w:val="22"/>
        </w:rPr>
        <w:t>Research service. Offer higher API throughput, longer hosted query history, saved comparisons, scheduled exports and research compute. These features use the same versioned underlying publications and expose the same uncertainty. Research convenience must not create a privately favoured canonical formula or earlier “official” status for paying users.</w:t>
      </w:r>
    </w:p>
    <w:p>
      <w:pPr>
        <w:pStyle w:val="BodyText"/>
        <w:spacing w:before="0" w:after="120" w:line="250" w:lineRule="auto"/>
      </w:pPr>
      <w:r>
        <w:rPr>
          <w:color w:val="000000"/>
          <w:sz w:val="22"/>
        </w:rPr>
        <w:t>Professional service. Offer team workspaces, integration support, service alerts, managed workloads and defined support response targets. Contracted operational support does not certify economic outcomes. Any contracted availability commitment must state dependencies, measurement method, exclusions, incident handling and recovery responsibilities after the service has demonstrated the required operating capability.</w:t>
      </w:r>
    </w:p>
    <w:p>
      <w:pPr>
        <w:pStyle w:val="BodyText"/>
        <w:spacing w:before="0" w:after="120" w:line="250" w:lineRule="auto"/>
      </w:pPr>
      <w:r>
        <w:rPr>
          <w:color w:val="000000"/>
          <w:sz w:val="22"/>
        </w:rPr>
        <w:t>Enterprise or managed service. Offer private deployments, dedicated capacity, organisation identity integration, audit-log export, controlled networking and negotiated retention or support. Private analytics and licensed inputs remain explicitly separated from public canonical outputs. Customer-specific calculations carry their own research labels and cannot replace universal Edition 3.1 rules.</w:t>
      </w:r>
    </w:p>
    <w:p>
      <w:pPr>
        <w:pStyle w:val="BodyText"/>
        <w:spacing w:before="0" w:after="120" w:line="250" w:lineRule="auto"/>
      </w:pPr>
      <w:r>
        <w:rPr>
          <w:color w:val="000000"/>
          <w:sz w:val="22"/>
        </w:rPr>
        <w:t>Vox in a Box. Offer a local node package with optional installation, hardware maintenance, update support, hosted backup or cloud integration. The operator retains its evidence and keys. Product terms must state hardware and storage requirements, supported networks, source costs, power and connectivity needs, warranty and end-of-support policy. This appendix specifies no unverified minimum hardware configuration.</w:t>
      </w:r>
    </w:p>
    <w:p>
      <w:pPr>
        <w:pStyle w:val="BodyText"/>
        <w:spacing w:before="0" w:after="120" w:line="250" w:lineRule="auto"/>
      </w:pPr>
      <w:r>
        <w:rPr>
          <w:color w:val="000000"/>
          <w:sz w:val="22"/>
        </w:rPr>
        <w:t>Participation is orthogonal to subscription. Private use, verification participation and public contribution are technical and trust choices from M.3. Purchasing a box or higher tier cannot buy official status, extra independence votes, preferential dispute outcomes, metric weights or governance power. A contributor with no paid subscription must face the same published scientific admission criteria.</w:t>
      </w:r>
    </w:p>
    <w:p>
      <w:pPr>
        <w:pStyle w:val="BodyText"/>
        <w:spacing w:before="0" w:after="120" w:line="250" w:lineRule="auto"/>
      </w:pPr>
      <w:r>
        <w:rPr>
          <w:color w:val="000000"/>
          <w:sz w:val="22"/>
        </w:rPr>
        <w:t>Pricing, quotas and commercial launch dates require separate operational and product approval. Any later rewards for data contribution require an independently reviewed incentive and anti-manipulation design. No rewards, token issuance or staking are assumed in the architecture.</w:t>
      </w:r>
    </w:p>
    <w:p>
      <w:pPr>
        <w:pStyle w:val="Heading2"/>
        <w:keepNext/>
        <w:pBdr/>
        <w:pageBreakBefore/>
        <w:spacing w:before="100" w:after="120" w:line="250" w:lineRule="auto"/>
      </w:pPr>
      <w:r>
        <w:rPr>
          <w:color w:val="000000"/>
          <w:sz w:val="25"/>
        </w:rPr>
        <w:t>M.16 Phased rollout with evidence gates</w:t>
      </w:r>
    </w:p>
    <w:p>
      <w:pPr>
        <w:pStyle w:val="BodyText"/>
        <w:spacing w:before="0" w:after="120" w:line="250" w:lineRule="auto"/>
      </w:pPr>
      <w:r>
        <w:rPr>
          <w:color w:val="000000"/>
          <w:sz w:val="22"/>
        </w:rPr>
        <w:t>These stages refine the infrastructure work in Chapter 36. They are dependency-based gates, not replacement dates or evidence that the original roadmap has been completed. Progression requires published acceptance evidence, unresolved-risk review and an accountable release owner. Economic-layer activation remains subject to its original separate prerequisites.</w:t>
      </w:r>
    </w:p>
    <w:p>
      <w:pPr>
        <w:pStyle w:val="BodyText"/>
        <w:spacing w:before="0" w:after="120" w:line="250" w:lineRule="auto"/>
      </w:pPr>
      <w:r>
        <w:rPr>
          <w:color w:val="000000"/>
          <w:sz w:val="22"/>
        </w:rPr>
        <w:t>Stage A — establish the baseline. Inventory deployed collectors, evidence stores, writer ownership, adapters, governance authority and source dependencies. Freeze the canonical methodology and conformance fixtures. Reconcile each required evidence kind through the production reader and test restart, repair, finality and checkpoint integrity. Exit only when the implementation register accurately separates working, experimental and unverified components. Preserve existing successful operations while isolating changes.</w:t>
      </w:r>
    </w:p>
    <w:p>
      <w:pPr>
        <w:pStyle w:val="BodyText"/>
        <w:spacing w:before="0" w:after="120" w:line="250" w:lineRule="auto"/>
      </w:pPr>
      <w:r>
        <w:rPr>
          <w:color w:val="000000"/>
          <w:sz w:val="22"/>
        </w:rPr>
        <w:t>Stage B — secure cloud publication pilot. Implement scoped signed exports, outbound ingestion, quarantine, isolated validation, immutable snapshots and read-only presentation. Freeze the protocol profile and test vectors. Test replay, malformed packages, signature failure, stale status, revocation and restoration from backup. Exit only after review demonstrates that a compromised frontend or ingestion credential cannot write to canonical evidence or promote a result.</w:t>
      </w:r>
    </w:p>
    <w:p>
      <w:pPr>
        <w:pStyle w:val="BodyText"/>
        <w:spacing w:before="0" w:after="120" w:line="250" w:lineRule="auto"/>
      </w:pPr>
      <w:r>
        <w:rPr>
          <w:color w:val="000000"/>
          <w:sz w:val="22"/>
        </w:rPr>
        <w:t>Stage C — private appliance pilot. Deliver verified installation, default private mode, local administration, resource controls, protected keys, secure updates and recovery. Test upgrades, disk failure, lost connectivity, power interruption and migration rollback. Exit after operators can preserve evidence and safely recover without vendor remote control; no publication may occur without explicit opt-in.</w:t>
      </w:r>
    </w:p>
    <w:p>
      <w:pPr>
        <w:pStyle w:val="BodyText"/>
        <w:spacing w:before="0" w:after="120" w:line="250" w:lineRule="auto"/>
      </w:pPr>
      <w:r>
        <w:rPr>
          <w:color w:val="000000"/>
          <w:sz w:val="22"/>
        </w:rPr>
        <w:t>Stage D — independent verification pilot. Recruit independently controlled operators and disclose dependencies. Freeze the acceptance profile and reproduce shared fixtures plus independently acquired finalized scopes. Inject a minority-correct disagreement, correlated provider failure, revoked key, partition and withheld evidence. Exit after verification scope is accurately reported, invalid agreement cannot bypass evidence gates and insufficient assurance stops promotion.</w:t>
      </w:r>
    </w:p>
    <w:p>
      <w:pPr>
        <w:pStyle w:val="BodyText"/>
        <w:spacing w:before="0" w:after="120" w:line="250" w:lineRule="auto"/>
      </w:pPr>
      <w:r>
        <w:rPr>
          <w:color w:val="000000"/>
          <w:sz w:val="22"/>
        </w:rPr>
        <w:t>Stage E — curated public contribution. Enrol a limited set of qualified contributors with scoped access, retention commitments and quotas. Operate public dispute, revocation, audit and status workflows. Measure concentration, service behaviour and cross-node disagreements over a predeclared representative window. Exit only after the publication and recovery objectives are demonstrated and material security findings are resolved or explicitly block affected features.</w:t>
      </w:r>
    </w:p>
    <w:p>
      <w:pPr>
        <w:pStyle w:val="BodyText"/>
        <w:spacing w:before="0" w:after="120" w:line="250" w:lineRule="auto"/>
      </w:pPr>
      <w:r>
        <w:rPr>
          <w:color w:val="000000"/>
          <w:sz w:val="22"/>
        </w:rPr>
        <w:t>Stage F — broader federation and service expansion. Expand operators, hardware support, mirrors and commercial capacity only as observed reliability and independence justify it. Commission independent security and replication reviews. Publish remaining central dependencies. Any move to permissionless admission or consensus requires a separate protocol, threat model and governance decision; this amendment does not authorise a marketing claim that those systems exist.</w:t>
      </w:r>
    </w:p>
    <w:p>
      <w:pPr>
        <w:pStyle w:val="BodyText"/>
        <w:spacing w:before="0" w:after="120" w:line="250" w:lineRule="auto"/>
      </w:pPr>
      <w:r>
        <w:rPr>
          <w:color w:val="000000"/>
          <w:sz w:val="22"/>
        </w:rPr>
        <w:t>A failed stage rolls back the affected release or participation scope to its last safe state. Historical records remain available with accurate status. Do not weaken frozen acceptance tests, quorum policy or evidence requirements to advance the schedule.</w:t>
      </w:r>
    </w:p>
    <w:p>
      <w:pPr>
        <w:pStyle w:val="Heading2"/>
        <w:keepNext/>
        <w:pBdr/>
        <w:pageBreakBefore/>
        <w:spacing w:before="100" w:after="120" w:line="250" w:lineRule="auto"/>
      </w:pPr>
      <w:r>
        <w:rPr>
          <w:color w:val="000000"/>
          <w:sz w:val="25"/>
        </w:rPr>
        <w:t>M.17 Acceptance evidence and operational ownership</w:t>
      </w:r>
    </w:p>
    <w:p>
      <w:pPr>
        <w:pStyle w:val="BodyText"/>
        <w:spacing w:before="0" w:after="120" w:line="250" w:lineRule="auto"/>
      </w:pPr>
      <w:r>
        <w:rPr>
          <w:color w:val="000000"/>
          <w:sz w:val="22"/>
        </w:rPr>
        <w:t>Collector and evidence acceptance must demonstrate exclusive writer ownership, fencing under partition, durable commits, idempotent replay, intact coordinate-to-content mappings and production-reader servability for every required kind. Include identical-payload collision fixtures, out-of-order completion, partial writes, corrupt indexes, unresolved gaps, skipped-slot ambiguity and interrupted repair. Record the exact tested scope; a static-store pass and successful live recovery are separate claims.</w:t>
      </w:r>
    </w:p>
    <w:p>
      <w:pPr>
        <w:pStyle w:val="BodyText"/>
        <w:spacing w:before="0" w:after="120" w:line="250" w:lineRule="auto"/>
      </w:pPr>
      <w:r>
        <w:rPr>
          <w:color w:val="000000"/>
          <w:sz w:val="22"/>
        </w:rPr>
        <w:t>Protocol acceptance must demonstrate deterministic encoding across independent implementations, rejection of duplicate and malformed fields, signature and domain validation, large-number precision, key-scope checks, replay resistance, sequence continuity after restore and detection of same-sequence conflicting bodies. Test transport retries, lost acknowledgements, expired trust metadata and malicious evidence references.</w:t>
      </w:r>
    </w:p>
    <w:p>
      <w:pPr>
        <w:pStyle w:val="BodyText"/>
        <w:spacing w:before="0" w:after="120" w:line="250" w:lineRule="auto"/>
      </w:pPr>
      <w:r>
        <w:rPr>
          <w:color w:val="000000"/>
          <w:sz w:val="22"/>
        </w:rPr>
        <w:t>Verification acceptance must demonstrate correct comparison scoping, full reproduction including history and benchmark inputs, exact deterministic equality and only preapproved tolerances. Tests must include many correlated wrong nodes versus one independently reproducible correct result. The expected response is a visible dispute and withheld promotion, not automatic majority acceptance. Test incomplete and unavailable evidence without converting them into successful checks.</w:t>
      </w:r>
    </w:p>
    <w:p>
      <w:pPr>
        <w:pStyle w:val="BodyText"/>
        <w:spacing w:before="0" w:after="120" w:line="250" w:lineRule="auto"/>
      </w:pPr>
      <w:r>
        <w:rPr>
          <w:color w:val="000000"/>
          <w:sz w:val="22"/>
        </w:rPr>
        <w:t>Security acceptance must exercise revoked and compromised keys, lost approvers, trust-root recovery, malicious signed updates, expired update metadata, unsafe downgrade, dependency compromise, private-data export attempts, cross-tenant access and compromise of a public server. Record what an attacker could still reach. No successful penetration test establishes immunity to every attack.</w:t>
      </w:r>
    </w:p>
    <w:p>
      <w:pPr>
        <w:pStyle w:val="BodyText"/>
        <w:spacing w:before="0" w:after="120" w:line="250" w:lineRule="auto"/>
      </w:pPr>
      <w:r>
        <w:rPr>
          <w:color w:val="000000"/>
          <w:sz w:val="22"/>
        </w:rPr>
        <w:t>Availability acceptance must measure ordinary load, burst load and degraded dependencies, then rehearse failover and isolated restoration. Verify immutable snapshot consistency, last-valid status, revocation propagation, source freshness, backup recovery and bounded queues. A node may not claim uninterrupted fresh measurement solely because cached dashboard pages stayed online.</w:t>
      </w:r>
    </w:p>
    <w:p>
      <w:pPr>
        <w:pStyle w:val="BodyText"/>
        <w:spacing w:before="0" w:after="120" w:line="250" w:lineRule="auto"/>
      </w:pPr>
      <w:r>
        <w:rPr>
          <w:color w:val="000000"/>
          <w:sz w:val="22"/>
        </w:rPr>
        <w:t>Assign named owners for methodology and policy, node operation, signing and registry security, release engineering, cloud reliability, incident response and independent assurance. Roles with conflicting authority must be separated. Emergency actions are scoped, time-limited, logged and reviewed under existing governance rules; emergency access cannot amend constitutional metrics or erase disputed history.</w:t>
      </w:r>
    </w:p>
    <w:p>
      <w:pPr>
        <w:pStyle w:val="BodyText"/>
        <w:spacing w:before="0" w:after="120" w:line="250" w:lineRule="auto"/>
      </w:pPr>
      <w:r>
        <w:rPr>
          <w:color w:val="000000"/>
          <w:sz w:val="22"/>
        </w:rPr>
        <w:t>Every acceptance report records versions, configuration, fixture and input hashes, dates, measured outcomes, failures, reviewers and residual risks. Keep gate code tracked and freeze its digest for each certification run. A test-condition change creates a new run and explanation. Public statements may claim only the deployment scope and assurance established by these records.</w:t>
      </w:r>
    </w:p>
    <w:p>
      <w:pPr>
        <w:pStyle w:val="Heading2"/>
        <w:keepNext/>
        <w:pBdr/>
        <w:pageBreakBefore/>
        <w:spacing w:before="100" w:after="120" w:line="250" w:lineRule="auto"/>
      </w:pPr>
      <w:r>
        <w:rPr>
          <w:color w:val="000000"/>
          <w:sz w:val="25"/>
        </w:rPr>
        <w:t>M.18 Amendment record and supporting references</w:t>
      </w:r>
    </w:p>
    <w:p>
      <w:pPr>
        <w:pStyle w:val="BodyText"/>
        <w:spacing w:before="0" w:after="120" w:line="250" w:lineRule="auto"/>
      </w:pPr>
      <w:r>
        <w:rPr>
          <w:color w:val="000000"/>
          <w:sz w:val="22"/>
        </w:rPr>
        <w:t>Source and preservation. This document retains Edition 3.1 and its 28 September Collector FLOW amendment. The secure node amendment adds a publication notice, change-log entry and Appendix M. Existing definitions, equations, weights, tables, figures and implementation rules remain controlling. Page references and navigational entries may be refreshed to reflect the added material.</w:t>
      </w:r>
    </w:p>
    <w:p>
      <w:pPr>
        <w:pStyle w:val="BodyText"/>
        <w:spacing w:before="0" w:after="120" w:line="250" w:lineRule="auto"/>
      </w:pPr>
      <w:r>
        <w:rPr>
          <w:color w:val="000000"/>
          <w:sz w:val="22"/>
        </w:rPr>
        <w:t>Interpretation. Chapters 5, 6, 28–30 and 33 supply the existing collector, provenance, dispute, reproducibility and security foundations. Appendix M specifies their proposed deployment across independently operated nodes and Vox Cloud. Where a requirement needs a new protocol profile, trust policy, service target or implementation, the relevant acceptance gate must be completed before it is advertised as operational.</w:t>
      </w:r>
    </w:p>
    <w:p>
      <w:pPr>
        <w:pStyle w:val="BodyText"/>
        <w:spacing w:before="0" w:after="120" w:line="250" w:lineRule="auto"/>
      </w:pPr>
      <w:r>
        <w:rPr>
          <w:color w:val="000000"/>
          <w:sz w:val="22"/>
        </w:rPr>
        <w:t>Migration and impact. No mandatory historical score recalculation results from this amendment. Implementations add versioned publication, trust and evidence-export metadata without rewriting prior evidence. Store or protocol migrations require preserved source snapshots, validated readers, explicit compatibility and rollback rules. Evidence corrections follow the existing immutable-history and versioned-recalculation policies. New operational thresholds cannot silently alter VCS or metric rules.</w:t>
      </w:r>
    </w:p>
    <w:p>
      <w:pPr>
        <w:pStyle w:val="BodyText"/>
        <w:spacing w:before="0" w:after="120" w:line="250" w:lineRule="auto"/>
      </w:pPr>
      <w:r>
        <w:rPr>
          <w:color w:val="000000"/>
          <w:sz w:val="22"/>
        </w:rPr>
        <w:t>Context record. Capacity Diagnosis Status, referenced conversation 6abd3622-1d24-83eb-89c3-fdfefccff6b1, supplied the design motivation and reported collector context. It was consulted on 30 September 2026. Its operational reports are not substituted for code review, deployment evidence or certification.</w:t>
      </w:r>
    </w:p>
    <w:p>
      <w:pPr>
        <w:pStyle w:val="BodyText"/>
        <w:spacing w:before="0" w:after="120" w:line="250" w:lineRule="auto"/>
      </w:pPr>
      <w:r>
        <w:rPr>
          <w:color w:val="000000"/>
          <w:sz w:val="22"/>
        </w:rPr>
        <w:t>M1. RFC 8785, JSON Canonicalization Scheme, June 2020. Defines a deterministic JSON representation suitable for hashing and signing. https://www.rfc-editor.org/rfc/rfc8785.html</w:t>
      </w:r>
    </w:p>
    <w:p>
      <w:pPr>
        <w:pStyle w:val="BodyText"/>
        <w:spacing w:before="0" w:after="120" w:line="250" w:lineRule="auto"/>
      </w:pPr>
      <w:r>
        <w:rPr>
          <w:color w:val="000000"/>
          <w:sz w:val="22"/>
        </w:rPr>
        <w:t>M2. RFC 8032, Edwards-Curve Digital Signature Algorithm, January 2017. Specifies EdDSA, including Ed25519. https://www.rfc-editor.org/rfc/rfc8032.html</w:t>
      </w:r>
    </w:p>
    <w:p>
      <w:pPr>
        <w:pStyle w:val="BodyText"/>
        <w:spacing w:before="0" w:after="120" w:line="250" w:lineRule="auto"/>
      </w:pPr>
      <w:r>
        <w:rPr>
          <w:color w:val="000000"/>
          <w:sz w:val="22"/>
        </w:rPr>
        <w:t>M3. NIST SP 800-218, Secure Software Development Framework Version 1.1, February 2022. Supporting secure-development guidance, also referenced by the base whitepaper. https://csrc.nist.gov/pubs/sp/800/218/final</w:t>
      </w:r>
    </w:p>
    <w:p>
      <w:pPr>
        <w:pStyle w:val="BodyText"/>
        <w:spacing w:before="0" w:after="120" w:line="250" w:lineRule="auto"/>
      </w:pPr>
      <w:r>
        <w:rPr>
          <w:color w:val="000000"/>
          <w:sz w:val="22"/>
        </w:rPr>
        <w:t>M4. The Update Framework, Roles and Metadata and Overview. Supporting design for authenticated, versioned and expiring update metadata. https://theupdateframework.io/docs/metadata/ and https://theupdateframework.io/docs/overview/</w:t>
      </w:r>
    </w:p>
    <w:p>
      <w:pPr>
        <w:pStyle w:val="BodyText"/>
        <w:spacing w:before="0" w:after="120" w:line="250" w:lineRule="auto"/>
      </w:pPr>
      <w:r>
        <w:rPr>
          <w:color w:val="000000"/>
          <w:sz w:val="22"/>
        </w:rPr>
        <w:t>References were checked on 30 September 2026. They support selected engineering mechanisms; they do not endorse Voxonomics, certify this design or establish an implemented service. The initial protocol and deployment profiles require their own current security review before release.</w:t>
      </w:r>
    </w:p>
    <w:p>
      <w:pPr>
        <w:pStyle w:val="BodyText"/>
        <w:widowControl/>
        <w:spacing w:before="0" w:after="120"/>
        <w:rPr/>
      </w:pPr>
      <w:bookmarkStart w:id="698" w:name="appendix-l-edition-3.0-change-log"/>
      <w:r>
        <w:rPr>
          <w:b/>
          <w:bCs/>
        </w:rPr>
        <w:t>End of Edition 3.1</w:t>
      </w:r>
      <w:bookmarkEnd w:id="698"/>
    </w:p>
    <w:sectPr>
      <w:headerReference w:type="even" r:id="rId81"/>
      <w:headerReference w:type="default" r:id="rId82"/>
      <w:headerReference w:type="first" r:id="rId83"/>
      <w:footerReference w:type="even" r:id="rId84"/>
      <w:footerReference w:type="default" r:id="rId85"/>
      <w:footerReference w:type="first" r:id="rId86"/>
      <w:type w:val="nextPage"/>
      <w:pgSz w:w="11906" w:h="16838"/>
      <w:pgMar w:left="1134" w:right="1134" w:gutter="0" w:header="510" w:top="1077" w:footer="510" w:bottom="1020"/>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mbria">
    <w:charset w:val="00" w:characterSet="iso-8859-1"/>
    <w:family w:val="roman"/>
    <w:pitch w:val="variable"/>
  </w:font>
  <w:font w:name="Noto Serif">
    <w:charset w:val="00" w:characterSet="iso-8859-1"/>
    <w:family w:val="roman"/>
    <w:pitch w:val="variable"/>
  </w:font>
  <w:font w:name="Calibri">
    <w:charset w:val="00" w:characterSet="iso-8859-1"/>
    <w:family w:val="roman"/>
    <w:pitch w:val="variable"/>
  </w:font>
  <w:font w:name="Courier">
    <w:altName w:val="Courier New"/>
    <w:charset w:val="00" w:characterSet="iso-8859-1"/>
    <w:family w:val="roman"/>
    <w:pitch w:val="variable"/>
  </w:font>
  <w:font w:name="Liberation Sans">
    <w:altName w:val="Arial"/>
    <w:charset w:val="00" w:characterSet="iso-8859-1"/>
    <w:family w:val="swiss"/>
    <w:pitch w:val="variable"/>
  </w:font>
  <w:font w:name="Inter">
    <w:charset w:val="00" w:characterSet="iso-8859-1"/>
    <w:family w:val="roman"/>
    <w:pitch w:val="variable"/>
  </w:font>
  <w:font w:name="Inter Display">
    <w:charset w:val="00" w:characterSet="iso-8859-1"/>
    <w:family w:val="roman"/>
    <w:pitch w:val="variable"/>
  </w:font>
  <w:font w:name="DejaVu Sans Mono">
    <w:charset w:val="00" w:characterSet="iso-8859-1"/>
    <w:family w:val="roman"/>
    <w:pitch w:val="variable"/>
  </w:font>
  <w:font w:name="Cambria Math">
    <w:charset w:val="00" w:characterSet="iso-8859-1"/>
    <w:family w:val="roman"/>
    <w:pitch w:val="variable"/>
  </w:font>
  <w:font w:name="Aptos">
    <w:charset w:val="00" w:characterSet="iso-8859-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ascii="Inter" w:hAnsi="Inter"/>
        <w:color w:val="46697F"/>
        <w:sz w:val="15"/>
      </w:rPr>
      <w:t xml:space="preserve">JULY 2026   •   </w:t>
    </w:r>
    <w:r>
      <w:rPr/>
      <w:fldChar w:fldCharType="begin"/>
    </w:r>
    <w:r>
      <w:rPr/>
      <w:instrText xml:space="preserve"> PAGE </w:instrText>
    </w:r>
    <w:r>
      <w:rPr/>
      <w:fldChar w:fldCharType="separate"/>
    </w:r>
    <w:r>
      <w:rPr/>
      <w:t>111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2" w:color="B8CBD5"/>
      </w:pBdr>
      <w:jc w:val="end"/>
      <w:rPr/>
    </w:pPr>
    <w:r>
      <w:rPr>
        <w:rFonts w:ascii="Inter" w:hAnsi="Inter"/>
        <w:b/>
        <w:color w:val="46697F"/>
        <w:sz w:val="15"/>
      </w:rPr>
      <w:t>VOXONOMICS  •  FINAL WHITEPAPER  •  EDITION 3.1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3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3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3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3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6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8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9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9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0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0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0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0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0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0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0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0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0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0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1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1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1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1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1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1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1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1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11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1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2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3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4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5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6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7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8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19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0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1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2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3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4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5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6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7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8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29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0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1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2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3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4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5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6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7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8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39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0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1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2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3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4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4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4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4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4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4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4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4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4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4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5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5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5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6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6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6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6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6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6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6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6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6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6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7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8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8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8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8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8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8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8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8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8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8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9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49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49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0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1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2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2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2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2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2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2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2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2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2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2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3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4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5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5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5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5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5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5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5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5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5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5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56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6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7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8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59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0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1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2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3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4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5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6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7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8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69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0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1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2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2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2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23">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2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2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2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2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2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2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3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3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3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3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34">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35">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36">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37">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38">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39">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40">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41">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42">
    <w:lvl w:ilvl="0">
      <w:numFmt w:val="bullet"/>
      <w:lvlText w:val=""/>
      <w:lvlJc w:val="start"/>
      <w:pPr>
        <w:tabs>
          <w:tab w:val="num" w:pos="0"/>
        </w:tabs>
        <w:ind w:start="720" w:hanging="480"/>
      </w:pPr>
      <w:rPr>
        <w:rFonts w:ascii="Symbol" w:hAnsi="Symbol" w:cs="Symbol" w:hint="default"/>
      </w:rPr>
    </w:lvl>
    <w:lvl w:ilvl="1">
      <w:start w:val="0"/>
      <w:numFmt w:val="bullet"/>
      <w:lvlText w:val=""/>
      <w:lvlJc w:val="start"/>
      <w:pPr>
        <w:tabs>
          <w:tab w:val="num" w:pos="0"/>
        </w:tabs>
        <w:ind w:start="1440" w:hanging="480"/>
      </w:pPr>
      <w:rPr>
        <w:rFonts w:ascii="Symbol" w:hAnsi="Symbol" w:cs="Symbol" w:hint="default"/>
      </w:rPr>
    </w:lvl>
    <w:lvl w:ilvl="2">
      <w:start w:val="0"/>
      <w:numFmt w:val="bullet"/>
      <w:lvlText w:val=""/>
      <w:lvlJc w:val="start"/>
      <w:pPr>
        <w:tabs>
          <w:tab w:val="num" w:pos="0"/>
        </w:tabs>
        <w:ind w:start="2160" w:hanging="480"/>
      </w:pPr>
      <w:rPr>
        <w:rFonts w:ascii="Symbol" w:hAnsi="Symbol" w:cs="Symbol" w:hint="default"/>
      </w:rPr>
    </w:lvl>
    <w:lvl w:ilvl="3">
      <w:start w:val="0"/>
      <w:numFmt w:val="bullet"/>
      <w:lvlText w:val=""/>
      <w:lvlJc w:val="start"/>
      <w:pPr>
        <w:tabs>
          <w:tab w:val="num" w:pos="0"/>
        </w:tabs>
        <w:ind w:start="2880" w:hanging="480"/>
      </w:pPr>
      <w:rPr>
        <w:rFonts w:ascii="Symbol" w:hAnsi="Symbol" w:cs="Symbol" w:hint="default"/>
      </w:rPr>
    </w:lvl>
    <w:lvl w:ilvl="4">
      <w:start w:val="0"/>
      <w:numFmt w:val="bullet"/>
      <w:lvlText w:val=""/>
      <w:lvlJc w:val="start"/>
      <w:pPr>
        <w:tabs>
          <w:tab w:val="num" w:pos="0"/>
        </w:tabs>
        <w:ind w:start="3600" w:hanging="480"/>
      </w:pPr>
      <w:rPr>
        <w:rFonts w:ascii="Symbol" w:hAnsi="Symbol" w:cs="Symbol" w:hint="default"/>
      </w:rPr>
    </w:lvl>
    <w:lvl w:ilvl="5">
      <w:start w:val="0"/>
      <w:numFmt w:val="bullet"/>
      <w:lvlText w:val=""/>
      <w:lvlJc w:val="start"/>
      <w:pPr>
        <w:tabs>
          <w:tab w:val="num" w:pos="0"/>
        </w:tabs>
        <w:ind w:start="4320" w:hanging="480"/>
      </w:pPr>
      <w:rPr>
        <w:rFonts w:ascii="Symbol" w:hAnsi="Symbol" w:cs="Symbol" w:hint="default"/>
      </w:rPr>
    </w:lvl>
    <w:lvl w:ilvl="6">
      <w:start w:val="0"/>
      <w:numFmt w:val="bullet"/>
      <w:lvlText w:val=""/>
      <w:lvlJc w:val="start"/>
      <w:pPr>
        <w:tabs>
          <w:tab w:val="num" w:pos="0"/>
        </w:tabs>
        <w:ind w:start="5040" w:hanging="480"/>
      </w:pPr>
      <w:rPr>
        <w:rFonts w:ascii="Symbol" w:hAnsi="Symbol" w:cs="Symbol" w:hint="default"/>
      </w:rPr>
    </w:lvl>
    <w:lvl w:ilvl="7">
      <w:start w:val="0"/>
      <w:numFmt w:val="bullet"/>
      <w:lvlText w:val=""/>
      <w:lvlJc w:val="start"/>
      <w:pPr>
        <w:tabs>
          <w:tab w:val="num" w:pos="0"/>
        </w:tabs>
        <w:ind w:start="5760" w:hanging="480"/>
      </w:pPr>
      <w:rPr>
        <w:rFonts w:ascii="Symbol" w:hAnsi="Symbol" w:cs="Symbol" w:hint="default"/>
      </w:rPr>
    </w:lvl>
    <w:lvl w:ilvl="8">
      <w:start w:val="0"/>
      <w:numFmt w:val="bullet"/>
      <w:lvlText w:val=""/>
      <w:lvlJc w:val="start"/>
      <w:pPr>
        <w:tabs>
          <w:tab w:val="num" w:pos="0"/>
        </w:tabs>
        <w:ind w:start="6480" w:hanging="480"/>
      </w:pPr>
      <w:rPr>
        <w:rFonts w:ascii="Symbol" w:hAnsi="Symbol" w:cs="Symbol" w:hint="default"/>
      </w:rPr>
    </w:lvl>
  </w:abstractNum>
  <w:abstractNum w:abstractNumId="74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4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4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4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4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4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4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5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6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3">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4">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5">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6">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7">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8">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79">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80">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81">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82">
    <w:lvl w:ilvl="0">
      <w:start w:val="1"/>
      <w:numFmt w:val="decimal"/>
      <w:lvlText w:val="%1."/>
      <w:lvlJc w:val="start"/>
      <w:pPr>
        <w:tabs>
          <w:tab w:val="num" w:pos="0"/>
        </w:tabs>
        <w:ind w:start="720" w:hanging="480"/>
      </w:pPr>
      <w:rPr/>
    </w:lvl>
    <w:lvl w:ilvl="1">
      <w:start w:val="1"/>
      <w:numFmt w:val="decimal"/>
      <w:lvlText w:val="%2."/>
      <w:lvlJc w:val="start"/>
      <w:pPr>
        <w:tabs>
          <w:tab w:val="num" w:pos="0"/>
        </w:tabs>
        <w:ind w:start="1440" w:hanging="480"/>
      </w:pPr>
      <w:rPr/>
    </w:lvl>
    <w:lvl w:ilvl="2">
      <w:start w:val="1"/>
      <w:numFmt w:val="decimal"/>
      <w:lvlText w:val="%3."/>
      <w:lvlJc w:val="start"/>
      <w:pPr>
        <w:tabs>
          <w:tab w:val="num" w:pos="0"/>
        </w:tabs>
        <w:ind w:start="2160" w:hanging="480"/>
      </w:pPr>
      <w:rPr/>
    </w:lvl>
    <w:lvl w:ilvl="3">
      <w:start w:val="1"/>
      <w:numFmt w:val="decimal"/>
      <w:lvlText w:val="%4."/>
      <w:lvlJc w:val="start"/>
      <w:pPr>
        <w:tabs>
          <w:tab w:val="num" w:pos="0"/>
        </w:tabs>
        <w:ind w:start="2880" w:hanging="480"/>
      </w:pPr>
      <w:rPr/>
    </w:lvl>
    <w:lvl w:ilvl="4">
      <w:start w:val="1"/>
      <w:numFmt w:val="decimal"/>
      <w:lvlText w:val="%5."/>
      <w:lvlJc w:val="start"/>
      <w:pPr>
        <w:tabs>
          <w:tab w:val="num" w:pos="0"/>
        </w:tabs>
        <w:ind w:start="3600" w:hanging="480"/>
      </w:pPr>
      <w:rPr/>
    </w:lvl>
    <w:lvl w:ilvl="5">
      <w:start w:val="1"/>
      <w:numFmt w:val="decimal"/>
      <w:lvlText w:val="%6."/>
      <w:lvlJc w:val="start"/>
      <w:pPr>
        <w:tabs>
          <w:tab w:val="num" w:pos="0"/>
        </w:tabs>
        <w:ind w:start="4320" w:hanging="480"/>
      </w:pPr>
      <w:rPr/>
    </w:lvl>
    <w:lvl w:ilvl="6">
      <w:start w:val="1"/>
      <w:numFmt w:val="decimal"/>
      <w:lvlText w:val="%7."/>
      <w:lvlJc w:val="start"/>
      <w:pPr>
        <w:tabs>
          <w:tab w:val="num" w:pos="0"/>
        </w:tabs>
        <w:ind w:start="5040" w:hanging="480"/>
      </w:pPr>
      <w:rPr/>
    </w:lvl>
    <w:lvl w:ilvl="7">
      <w:start w:val="1"/>
      <w:numFmt w:val="decimal"/>
      <w:lvlText w:val="%8."/>
      <w:lvlJc w:val="start"/>
      <w:pPr>
        <w:tabs>
          <w:tab w:val="num" w:pos="0"/>
        </w:tabs>
        <w:ind w:start="5760" w:hanging="480"/>
      </w:pPr>
      <w:rPr/>
    </w:lvl>
    <w:lvl w:ilvl="8">
      <w:start w:val="1"/>
      <w:numFmt w:val="decimal"/>
      <w:lvlText w:val="%9."/>
      <w:lvlJc w:val="start"/>
      <w:pPr>
        <w:tabs>
          <w:tab w:val="num" w:pos="0"/>
        </w:tabs>
        <w:ind w:start="6480" w:hanging="480"/>
      </w:pPr>
      <w:rPr/>
    </w:lvl>
  </w:abstractNum>
  <w:abstractNum w:abstractNumId="78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 w:numId="353">
    <w:abstractNumId w:val="353"/>
  </w:num>
  <w:num w:numId="354">
    <w:abstractNumId w:val="354"/>
  </w:num>
  <w:num w:numId="355">
    <w:abstractNumId w:val="355"/>
  </w:num>
  <w:num w:numId="356">
    <w:abstractNumId w:val="356"/>
  </w:num>
  <w:num w:numId="357">
    <w:abstractNumId w:val="357"/>
  </w:num>
  <w:num w:numId="358">
    <w:abstractNumId w:val="358"/>
  </w:num>
  <w:num w:numId="359">
    <w:abstractNumId w:val="359"/>
  </w:num>
  <w:num w:numId="360">
    <w:abstractNumId w:val="360"/>
  </w:num>
  <w:num w:numId="361">
    <w:abstractNumId w:val="361"/>
  </w:num>
  <w:num w:numId="362">
    <w:abstractNumId w:val="362"/>
  </w:num>
  <w:num w:numId="363">
    <w:abstractNumId w:val="363"/>
  </w:num>
  <w:num w:numId="364">
    <w:abstractNumId w:val="364"/>
  </w:num>
  <w:num w:numId="365">
    <w:abstractNumId w:val="365"/>
  </w:num>
  <w:num w:numId="366">
    <w:abstractNumId w:val="366"/>
  </w:num>
  <w:num w:numId="367">
    <w:abstractNumId w:val="367"/>
  </w:num>
  <w:num w:numId="368">
    <w:abstractNumId w:val="368"/>
  </w:num>
  <w:num w:numId="369">
    <w:abstractNumId w:val="369"/>
  </w:num>
  <w:num w:numId="370">
    <w:abstractNumId w:val="370"/>
  </w:num>
  <w:num w:numId="371">
    <w:abstractNumId w:val="371"/>
  </w:num>
  <w:num w:numId="372">
    <w:abstractNumId w:val="372"/>
  </w:num>
  <w:num w:numId="373">
    <w:abstractNumId w:val="373"/>
  </w:num>
  <w:num w:numId="374">
    <w:abstractNumId w:val="374"/>
  </w:num>
  <w:num w:numId="375">
    <w:abstractNumId w:val="375"/>
  </w:num>
  <w:num w:numId="376">
    <w:abstractNumId w:val="376"/>
  </w:num>
  <w:num w:numId="377">
    <w:abstractNumId w:val="377"/>
  </w:num>
  <w:num w:numId="378">
    <w:abstractNumId w:val="378"/>
  </w:num>
  <w:num w:numId="379">
    <w:abstractNumId w:val="379"/>
  </w:num>
  <w:num w:numId="380">
    <w:abstractNumId w:val="380"/>
  </w:num>
  <w:num w:numId="381">
    <w:abstractNumId w:val="381"/>
  </w:num>
  <w:num w:numId="382">
    <w:abstractNumId w:val="382"/>
  </w:num>
  <w:num w:numId="383">
    <w:abstractNumId w:val="383"/>
  </w:num>
  <w:num w:numId="384">
    <w:abstractNumId w:val="384"/>
  </w:num>
  <w:num w:numId="385">
    <w:abstractNumId w:val="385"/>
  </w:num>
  <w:num w:numId="386">
    <w:abstractNumId w:val="386"/>
  </w:num>
  <w:num w:numId="387">
    <w:abstractNumId w:val="387"/>
  </w:num>
  <w:num w:numId="388">
    <w:abstractNumId w:val="388"/>
  </w:num>
  <w:num w:numId="389">
    <w:abstractNumId w:val="389"/>
  </w:num>
  <w:num w:numId="390">
    <w:abstractNumId w:val="390"/>
  </w:num>
  <w:num w:numId="391">
    <w:abstractNumId w:val="391"/>
  </w:num>
  <w:num w:numId="392">
    <w:abstractNumId w:val="392"/>
  </w:num>
  <w:num w:numId="393">
    <w:abstractNumId w:val="393"/>
  </w:num>
  <w:num w:numId="394">
    <w:abstractNumId w:val="394"/>
  </w:num>
  <w:num w:numId="395">
    <w:abstractNumId w:val="395"/>
  </w:num>
  <w:num w:numId="396">
    <w:abstractNumId w:val="396"/>
  </w:num>
  <w:num w:numId="397">
    <w:abstractNumId w:val="397"/>
  </w:num>
  <w:num w:numId="398">
    <w:abstractNumId w:val="398"/>
  </w:num>
  <w:num w:numId="399">
    <w:abstractNumId w:val="399"/>
  </w:num>
  <w:num w:numId="400">
    <w:abstractNumId w:val="400"/>
  </w:num>
  <w:num w:numId="401">
    <w:abstractNumId w:val="401"/>
  </w:num>
  <w:num w:numId="402">
    <w:abstractNumId w:val="402"/>
  </w:num>
  <w:num w:numId="403">
    <w:abstractNumId w:val="403"/>
  </w:num>
  <w:num w:numId="404">
    <w:abstractNumId w:val="404"/>
  </w:num>
  <w:num w:numId="405">
    <w:abstractNumId w:val="405"/>
  </w:num>
  <w:num w:numId="406">
    <w:abstractNumId w:val="406"/>
  </w:num>
  <w:num w:numId="407">
    <w:abstractNumId w:val="407"/>
  </w:num>
  <w:num w:numId="408">
    <w:abstractNumId w:val="408"/>
  </w:num>
  <w:num w:numId="409">
    <w:abstractNumId w:val="409"/>
  </w:num>
  <w:num w:numId="410">
    <w:abstractNumId w:val="410"/>
  </w:num>
  <w:num w:numId="411">
    <w:abstractNumId w:val="411"/>
  </w:num>
  <w:num w:numId="412">
    <w:abstractNumId w:val="412"/>
  </w:num>
  <w:num w:numId="413">
    <w:abstractNumId w:val="413"/>
  </w:num>
  <w:num w:numId="414">
    <w:abstractNumId w:val="414"/>
  </w:num>
  <w:num w:numId="415">
    <w:abstractNumId w:val="415"/>
  </w:num>
  <w:num w:numId="416">
    <w:abstractNumId w:val="416"/>
  </w:num>
  <w:num w:numId="417">
    <w:abstractNumId w:val="417"/>
  </w:num>
  <w:num w:numId="418">
    <w:abstractNumId w:val="418"/>
  </w:num>
  <w:num w:numId="419">
    <w:abstractNumId w:val="419"/>
  </w:num>
  <w:num w:numId="420">
    <w:abstractNumId w:val="420"/>
  </w:num>
  <w:num w:numId="421">
    <w:abstractNumId w:val="421"/>
  </w:num>
  <w:num w:numId="422">
    <w:abstractNumId w:val="422"/>
  </w:num>
  <w:num w:numId="423">
    <w:abstractNumId w:val="423"/>
  </w:num>
  <w:num w:numId="424">
    <w:abstractNumId w:val="424"/>
  </w:num>
  <w:num w:numId="425">
    <w:abstractNumId w:val="425"/>
  </w:num>
  <w:num w:numId="426">
    <w:abstractNumId w:val="426"/>
  </w:num>
  <w:num w:numId="427">
    <w:abstractNumId w:val="427"/>
  </w:num>
  <w:num w:numId="428">
    <w:abstractNumId w:val="428"/>
  </w:num>
  <w:num w:numId="429">
    <w:abstractNumId w:val="429"/>
  </w:num>
  <w:num w:numId="430">
    <w:abstractNumId w:val="430"/>
  </w:num>
  <w:num w:numId="431">
    <w:abstractNumId w:val="431"/>
  </w:num>
  <w:num w:numId="432">
    <w:abstractNumId w:val="432"/>
  </w:num>
  <w:num w:numId="433">
    <w:abstractNumId w:val="433"/>
  </w:num>
  <w:num w:numId="434">
    <w:abstractNumId w:val="434"/>
  </w:num>
  <w:num w:numId="435">
    <w:abstractNumId w:val="435"/>
  </w:num>
  <w:num w:numId="436">
    <w:abstractNumId w:val="436"/>
  </w:num>
  <w:num w:numId="437">
    <w:abstractNumId w:val="437"/>
  </w:num>
  <w:num w:numId="438">
    <w:abstractNumId w:val="438"/>
  </w:num>
  <w:num w:numId="439">
    <w:abstractNumId w:val="439"/>
  </w:num>
  <w:num w:numId="440">
    <w:abstractNumId w:val="440"/>
  </w:num>
  <w:num w:numId="441">
    <w:abstractNumId w:val="441"/>
  </w:num>
  <w:num w:numId="442">
    <w:abstractNumId w:val="442"/>
  </w:num>
  <w:num w:numId="443">
    <w:abstractNumId w:val="443"/>
  </w:num>
  <w:num w:numId="444">
    <w:abstractNumId w:val="444"/>
  </w:num>
  <w:num w:numId="445">
    <w:abstractNumId w:val="445"/>
  </w:num>
  <w:num w:numId="446">
    <w:abstractNumId w:val="446"/>
  </w:num>
  <w:num w:numId="447">
    <w:abstractNumId w:val="447"/>
  </w:num>
  <w:num w:numId="448">
    <w:abstractNumId w:val="448"/>
  </w:num>
  <w:num w:numId="449">
    <w:abstractNumId w:val="449"/>
  </w:num>
  <w:num w:numId="450">
    <w:abstractNumId w:val="450"/>
  </w:num>
  <w:num w:numId="451">
    <w:abstractNumId w:val="451"/>
  </w:num>
  <w:num w:numId="452">
    <w:abstractNumId w:val="452"/>
  </w:num>
  <w:num w:numId="453">
    <w:abstractNumId w:val="453"/>
  </w:num>
  <w:num w:numId="454">
    <w:abstractNumId w:val="454"/>
  </w:num>
  <w:num w:numId="455">
    <w:abstractNumId w:val="455"/>
  </w:num>
  <w:num w:numId="456">
    <w:abstractNumId w:val="456"/>
  </w:num>
  <w:num w:numId="457">
    <w:abstractNumId w:val="457"/>
  </w:num>
  <w:num w:numId="458">
    <w:abstractNumId w:val="458"/>
  </w:num>
  <w:num w:numId="459">
    <w:abstractNumId w:val="459"/>
  </w:num>
  <w:num w:numId="460">
    <w:abstractNumId w:val="460"/>
  </w:num>
  <w:num w:numId="461">
    <w:abstractNumId w:val="461"/>
  </w:num>
  <w:num w:numId="462">
    <w:abstractNumId w:val="462"/>
  </w:num>
  <w:num w:numId="463">
    <w:abstractNumId w:val="463"/>
  </w:num>
  <w:num w:numId="464">
    <w:abstractNumId w:val="464"/>
  </w:num>
  <w:num w:numId="465">
    <w:abstractNumId w:val="465"/>
  </w:num>
  <w:num w:numId="466">
    <w:abstractNumId w:val="466"/>
  </w:num>
  <w:num w:numId="467">
    <w:abstractNumId w:val="467"/>
  </w:num>
  <w:num w:numId="468">
    <w:abstractNumId w:val="468"/>
  </w:num>
  <w:num w:numId="469">
    <w:abstractNumId w:val="469"/>
  </w:num>
  <w:num w:numId="470">
    <w:abstractNumId w:val="470"/>
  </w:num>
  <w:num w:numId="471">
    <w:abstractNumId w:val="471"/>
  </w:num>
  <w:num w:numId="472">
    <w:abstractNumId w:val="472"/>
  </w:num>
  <w:num w:numId="473">
    <w:abstractNumId w:val="473"/>
  </w:num>
  <w:num w:numId="474">
    <w:abstractNumId w:val="474"/>
  </w:num>
  <w:num w:numId="475">
    <w:abstractNumId w:val="475"/>
  </w:num>
  <w:num w:numId="476">
    <w:abstractNumId w:val="476"/>
  </w:num>
  <w:num w:numId="477">
    <w:abstractNumId w:val="477"/>
  </w:num>
  <w:num w:numId="478">
    <w:abstractNumId w:val="478"/>
  </w:num>
  <w:num w:numId="479">
    <w:abstractNumId w:val="479"/>
  </w:num>
  <w:num w:numId="480">
    <w:abstractNumId w:val="480"/>
  </w:num>
  <w:num w:numId="481">
    <w:abstractNumId w:val="481"/>
  </w:num>
  <w:num w:numId="482">
    <w:abstractNumId w:val="482"/>
  </w:num>
  <w:num w:numId="483">
    <w:abstractNumId w:val="483"/>
  </w:num>
  <w:num w:numId="484">
    <w:abstractNumId w:val="484"/>
  </w:num>
  <w:num w:numId="485">
    <w:abstractNumId w:val="485"/>
  </w:num>
  <w:num w:numId="486">
    <w:abstractNumId w:val="486"/>
  </w:num>
  <w:num w:numId="487">
    <w:abstractNumId w:val="487"/>
  </w:num>
  <w:num w:numId="488">
    <w:abstractNumId w:val="488"/>
  </w:num>
  <w:num w:numId="489">
    <w:abstractNumId w:val="489"/>
  </w:num>
  <w:num w:numId="490">
    <w:abstractNumId w:val="490"/>
  </w:num>
  <w:num w:numId="491">
    <w:abstractNumId w:val="491"/>
  </w:num>
  <w:num w:numId="492">
    <w:abstractNumId w:val="492"/>
  </w:num>
  <w:num w:numId="493">
    <w:abstractNumId w:val="493"/>
  </w:num>
  <w:num w:numId="494">
    <w:abstractNumId w:val="494"/>
  </w:num>
  <w:num w:numId="495">
    <w:abstractNumId w:val="495"/>
  </w:num>
  <w:num w:numId="496">
    <w:abstractNumId w:val="496"/>
  </w:num>
  <w:num w:numId="497">
    <w:abstractNumId w:val="497"/>
  </w:num>
  <w:num w:numId="498">
    <w:abstractNumId w:val="498"/>
  </w:num>
  <w:num w:numId="499">
    <w:abstractNumId w:val="499"/>
  </w:num>
  <w:num w:numId="500">
    <w:abstractNumId w:val="500"/>
  </w:num>
  <w:num w:numId="501">
    <w:abstractNumId w:val="501"/>
  </w:num>
  <w:num w:numId="502">
    <w:abstractNumId w:val="502"/>
  </w:num>
  <w:num w:numId="503">
    <w:abstractNumId w:val="503"/>
  </w:num>
  <w:num w:numId="504">
    <w:abstractNumId w:val="504"/>
  </w:num>
  <w:num w:numId="505">
    <w:abstractNumId w:val="505"/>
  </w:num>
  <w:num w:numId="506">
    <w:abstractNumId w:val="506"/>
  </w:num>
  <w:num w:numId="507">
    <w:abstractNumId w:val="507"/>
  </w:num>
  <w:num w:numId="508">
    <w:abstractNumId w:val="508"/>
  </w:num>
  <w:num w:numId="509">
    <w:abstractNumId w:val="509"/>
  </w:num>
  <w:num w:numId="510">
    <w:abstractNumId w:val="510"/>
  </w:num>
  <w:num w:numId="511">
    <w:abstractNumId w:val="511"/>
  </w:num>
  <w:num w:numId="512">
    <w:abstractNumId w:val="512"/>
  </w:num>
  <w:num w:numId="513">
    <w:abstractNumId w:val="513"/>
  </w:num>
  <w:num w:numId="514">
    <w:abstractNumId w:val="514"/>
  </w:num>
  <w:num w:numId="515">
    <w:abstractNumId w:val="515"/>
  </w:num>
  <w:num w:numId="516">
    <w:abstractNumId w:val="516"/>
  </w:num>
  <w:num w:numId="517">
    <w:abstractNumId w:val="517"/>
  </w:num>
  <w:num w:numId="518">
    <w:abstractNumId w:val="518"/>
  </w:num>
  <w:num w:numId="519">
    <w:abstractNumId w:val="519"/>
  </w:num>
  <w:num w:numId="520">
    <w:abstractNumId w:val="520"/>
  </w:num>
  <w:num w:numId="521">
    <w:abstractNumId w:val="521"/>
  </w:num>
  <w:num w:numId="522">
    <w:abstractNumId w:val="522"/>
  </w:num>
  <w:num w:numId="523">
    <w:abstractNumId w:val="523"/>
  </w:num>
  <w:num w:numId="524">
    <w:abstractNumId w:val="524"/>
  </w:num>
  <w:num w:numId="525">
    <w:abstractNumId w:val="525"/>
  </w:num>
  <w:num w:numId="526">
    <w:abstractNumId w:val="526"/>
  </w:num>
  <w:num w:numId="527">
    <w:abstractNumId w:val="527"/>
  </w:num>
  <w:num w:numId="528">
    <w:abstractNumId w:val="528"/>
  </w:num>
  <w:num w:numId="529">
    <w:abstractNumId w:val="529"/>
  </w:num>
  <w:num w:numId="530">
    <w:abstractNumId w:val="530"/>
  </w:num>
  <w:num w:numId="531">
    <w:abstractNumId w:val="531"/>
  </w:num>
  <w:num w:numId="532">
    <w:abstractNumId w:val="532"/>
  </w:num>
  <w:num w:numId="533">
    <w:abstractNumId w:val="533"/>
  </w:num>
  <w:num w:numId="534">
    <w:abstractNumId w:val="534"/>
  </w:num>
  <w:num w:numId="535">
    <w:abstractNumId w:val="535"/>
  </w:num>
  <w:num w:numId="536">
    <w:abstractNumId w:val="536"/>
  </w:num>
  <w:num w:numId="537">
    <w:abstractNumId w:val="537"/>
  </w:num>
  <w:num w:numId="538">
    <w:abstractNumId w:val="538"/>
  </w:num>
  <w:num w:numId="539">
    <w:abstractNumId w:val="539"/>
  </w:num>
  <w:num w:numId="540">
    <w:abstractNumId w:val="540"/>
  </w:num>
  <w:num w:numId="541">
    <w:abstractNumId w:val="541"/>
  </w:num>
  <w:num w:numId="542">
    <w:abstractNumId w:val="542"/>
  </w:num>
  <w:num w:numId="543">
    <w:abstractNumId w:val="543"/>
  </w:num>
  <w:num w:numId="544">
    <w:abstractNumId w:val="544"/>
  </w:num>
  <w:num w:numId="545">
    <w:abstractNumId w:val="545"/>
  </w:num>
  <w:num w:numId="546">
    <w:abstractNumId w:val="546"/>
  </w:num>
  <w:num w:numId="547">
    <w:abstractNumId w:val="547"/>
  </w:num>
  <w:num w:numId="548">
    <w:abstractNumId w:val="548"/>
  </w:num>
  <w:num w:numId="549">
    <w:abstractNumId w:val="549"/>
  </w:num>
  <w:num w:numId="550">
    <w:abstractNumId w:val="550"/>
  </w:num>
  <w:num w:numId="551">
    <w:abstractNumId w:val="551"/>
  </w:num>
  <w:num w:numId="552">
    <w:abstractNumId w:val="552"/>
  </w:num>
  <w:num w:numId="553">
    <w:abstractNumId w:val="553"/>
  </w:num>
  <w:num w:numId="554">
    <w:abstractNumId w:val="554"/>
  </w:num>
  <w:num w:numId="555">
    <w:abstractNumId w:val="555"/>
  </w:num>
  <w:num w:numId="556">
    <w:abstractNumId w:val="556"/>
  </w:num>
  <w:num w:numId="557">
    <w:abstractNumId w:val="557"/>
  </w:num>
  <w:num w:numId="558">
    <w:abstractNumId w:val="558"/>
  </w:num>
  <w:num w:numId="559">
    <w:abstractNumId w:val="559"/>
  </w:num>
  <w:num w:numId="560">
    <w:abstractNumId w:val="560"/>
  </w:num>
  <w:num w:numId="561">
    <w:abstractNumId w:val="561"/>
  </w:num>
  <w:num w:numId="562">
    <w:abstractNumId w:val="562"/>
  </w:num>
  <w:num w:numId="563">
    <w:abstractNumId w:val="563"/>
  </w:num>
  <w:num w:numId="564">
    <w:abstractNumId w:val="564"/>
  </w:num>
  <w:num w:numId="565">
    <w:abstractNumId w:val="565"/>
  </w:num>
  <w:num w:numId="566">
    <w:abstractNumId w:val="566"/>
  </w:num>
  <w:num w:numId="567">
    <w:abstractNumId w:val="567"/>
  </w:num>
  <w:num w:numId="568">
    <w:abstractNumId w:val="568"/>
  </w:num>
  <w:num w:numId="569">
    <w:abstractNumId w:val="569"/>
  </w:num>
  <w:num w:numId="570">
    <w:abstractNumId w:val="570"/>
  </w:num>
  <w:num w:numId="571">
    <w:abstractNumId w:val="571"/>
  </w:num>
  <w:num w:numId="572">
    <w:abstractNumId w:val="572"/>
  </w:num>
  <w:num w:numId="573">
    <w:abstractNumId w:val="573"/>
  </w:num>
  <w:num w:numId="574">
    <w:abstractNumId w:val="574"/>
  </w:num>
  <w:num w:numId="575">
    <w:abstractNumId w:val="575"/>
  </w:num>
  <w:num w:numId="576">
    <w:abstractNumId w:val="576"/>
  </w:num>
  <w:num w:numId="577">
    <w:abstractNumId w:val="577"/>
  </w:num>
  <w:num w:numId="578">
    <w:abstractNumId w:val="578"/>
  </w:num>
  <w:num w:numId="579">
    <w:abstractNumId w:val="579"/>
  </w:num>
  <w:num w:numId="580">
    <w:abstractNumId w:val="580"/>
  </w:num>
  <w:num w:numId="581">
    <w:abstractNumId w:val="581"/>
  </w:num>
  <w:num w:numId="582">
    <w:abstractNumId w:val="582"/>
  </w:num>
  <w:num w:numId="583">
    <w:abstractNumId w:val="583"/>
  </w:num>
  <w:num w:numId="584">
    <w:abstractNumId w:val="584"/>
  </w:num>
  <w:num w:numId="585">
    <w:abstractNumId w:val="585"/>
  </w:num>
  <w:num w:numId="586">
    <w:abstractNumId w:val="586"/>
  </w:num>
  <w:num w:numId="587">
    <w:abstractNumId w:val="587"/>
  </w:num>
  <w:num w:numId="588">
    <w:abstractNumId w:val="588"/>
  </w:num>
  <w:num w:numId="589">
    <w:abstractNumId w:val="589"/>
  </w:num>
  <w:num w:numId="590">
    <w:abstractNumId w:val="590"/>
  </w:num>
  <w:num w:numId="591">
    <w:abstractNumId w:val="591"/>
  </w:num>
  <w:num w:numId="592">
    <w:abstractNumId w:val="592"/>
  </w:num>
  <w:num w:numId="593">
    <w:abstractNumId w:val="593"/>
  </w:num>
  <w:num w:numId="594">
    <w:abstractNumId w:val="594"/>
  </w:num>
  <w:num w:numId="595">
    <w:abstractNumId w:val="595"/>
  </w:num>
  <w:num w:numId="596">
    <w:abstractNumId w:val="596"/>
  </w:num>
  <w:num w:numId="597">
    <w:abstractNumId w:val="597"/>
  </w:num>
  <w:num w:numId="598">
    <w:abstractNumId w:val="598"/>
  </w:num>
  <w:num w:numId="599">
    <w:abstractNumId w:val="599"/>
  </w:num>
  <w:num w:numId="600">
    <w:abstractNumId w:val="600"/>
  </w:num>
  <w:num w:numId="601">
    <w:abstractNumId w:val="601"/>
  </w:num>
  <w:num w:numId="602">
    <w:abstractNumId w:val="602"/>
  </w:num>
  <w:num w:numId="603">
    <w:abstractNumId w:val="603"/>
  </w:num>
  <w:num w:numId="604">
    <w:abstractNumId w:val="604"/>
  </w:num>
  <w:num w:numId="605">
    <w:abstractNumId w:val="605"/>
  </w:num>
  <w:num w:numId="606">
    <w:abstractNumId w:val="606"/>
  </w:num>
  <w:num w:numId="607">
    <w:abstractNumId w:val="607"/>
  </w:num>
  <w:num w:numId="608">
    <w:abstractNumId w:val="608"/>
  </w:num>
  <w:num w:numId="609">
    <w:abstractNumId w:val="609"/>
  </w:num>
  <w:num w:numId="610">
    <w:abstractNumId w:val="610"/>
  </w:num>
  <w:num w:numId="611">
    <w:abstractNumId w:val="611"/>
  </w:num>
  <w:num w:numId="612">
    <w:abstractNumId w:val="612"/>
  </w:num>
  <w:num w:numId="613">
    <w:abstractNumId w:val="613"/>
  </w:num>
  <w:num w:numId="614">
    <w:abstractNumId w:val="614"/>
  </w:num>
  <w:num w:numId="615">
    <w:abstractNumId w:val="615"/>
  </w:num>
  <w:num w:numId="616">
    <w:abstractNumId w:val="616"/>
  </w:num>
  <w:num w:numId="617">
    <w:abstractNumId w:val="617"/>
  </w:num>
  <w:num w:numId="618">
    <w:abstractNumId w:val="618"/>
  </w:num>
  <w:num w:numId="619">
    <w:abstractNumId w:val="619"/>
  </w:num>
  <w:num w:numId="620">
    <w:abstractNumId w:val="620"/>
  </w:num>
  <w:num w:numId="621">
    <w:abstractNumId w:val="621"/>
  </w:num>
  <w:num w:numId="622">
    <w:abstractNumId w:val="622"/>
  </w:num>
  <w:num w:numId="623">
    <w:abstractNumId w:val="623"/>
  </w:num>
  <w:num w:numId="624">
    <w:abstractNumId w:val="624"/>
  </w:num>
  <w:num w:numId="625">
    <w:abstractNumId w:val="625"/>
  </w:num>
  <w:num w:numId="626">
    <w:abstractNumId w:val="626"/>
  </w:num>
  <w:num w:numId="627">
    <w:abstractNumId w:val="627"/>
  </w:num>
  <w:num w:numId="628">
    <w:abstractNumId w:val="628"/>
  </w:num>
  <w:num w:numId="629">
    <w:abstractNumId w:val="629"/>
  </w:num>
  <w:num w:numId="630">
    <w:abstractNumId w:val="630"/>
  </w:num>
  <w:num w:numId="631">
    <w:abstractNumId w:val="631"/>
  </w:num>
  <w:num w:numId="632">
    <w:abstractNumId w:val="632"/>
  </w:num>
  <w:num w:numId="633">
    <w:abstractNumId w:val="633"/>
  </w:num>
  <w:num w:numId="634">
    <w:abstractNumId w:val="634"/>
  </w:num>
  <w:num w:numId="635">
    <w:abstractNumId w:val="635"/>
  </w:num>
  <w:num w:numId="636">
    <w:abstractNumId w:val="636"/>
  </w:num>
  <w:num w:numId="637">
    <w:abstractNumId w:val="637"/>
  </w:num>
  <w:num w:numId="638">
    <w:abstractNumId w:val="638"/>
  </w:num>
  <w:num w:numId="639">
    <w:abstractNumId w:val="639"/>
  </w:num>
  <w:num w:numId="640">
    <w:abstractNumId w:val="640"/>
  </w:num>
  <w:num w:numId="641">
    <w:abstractNumId w:val="641"/>
  </w:num>
  <w:num w:numId="642">
    <w:abstractNumId w:val="642"/>
  </w:num>
  <w:num w:numId="643">
    <w:abstractNumId w:val="643"/>
  </w:num>
  <w:num w:numId="644">
    <w:abstractNumId w:val="644"/>
  </w:num>
  <w:num w:numId="645">
    <w:abstractNumId w:val="645"/>
  </w:num>
  <w:num w:numId="646">
    <w:abstractNumId w:val="646"/>
  </w:num>
  <w:num w:numId="647">
    <w:abstractNumId w:val="647"/>
  </w:num>
  <w:num w:numId="648">
    <w:abstractNumId w:val="648"/>
  </w:num>
  <w:num w:numId="649">
    <w:abstractNumId w:val="649"/>
  </w:num>
  <w:num w:numId="650">
    <w:abstractNumId w:val="650"/>
  </w:num>
  <w:num w:numId="651">
    <w:abstractNumId w:val="651"/>
  </w:num>
  <w:num w:numId="652">
    <w:abstractNumId w:val="652"/>
  </w:num>
  <w:num w:numId="653">
    <w:abstractNumId w:val="653"/>
  </w:num>
  <w:num w:numId="654">
    <w:abstractNumId w:val="654"/>
  </w:num>
  <w:num w:numId="655">
    <w:abstractNumId w:val="655"/>
  </w:num>
  <w:num w:numId="656">
    <w:abstractNumId w:val="656"/>
  </w:num>
  <w:num w:numId="657">
    <w:abstractNumId w:val="657"/>
  </w:num>
  <w:num w:numId="658">
    <w:abstractNumId w:val="658"/>
  </w:num>
  <w:num w:numId="659">
    <w:abstractNumId w:val="659"/>
  </w:num>
  <w:num w:numId="660">
    <w:abstractNumId w:val="660"/>
  </w:num>
  <w:num w:numId="661">
    <w:abstractNumId w:val="661"/>
  </w:num>
  <w:num w:numId="662">
    <w:abstractNumId w:val="662"/>
  </w:num>
  <w:num w:numId="663">
    <w:abstractNumId w:val="663"/>
  </w:num>
  <w:num w:numId="664">
    <w:abstractNumId w:val="664"/>
  </w:num>
  <w:num w:numId="665">
    <w:abstractNumId w:val="665"/>
  </w:num>
  <w:num w:numId="666">
    <w:abstractNumId w:val="666"/>
  </w:num>
  <w:num w:numId="667">
    <w:abstractNumId w:val="667"/>
  </w:num>
  <w:num w:numId="668">
    <w:abstractNumId w:val="668"/>
  </w:num>
  <w:num w:numId="669">
    <w:abstractNumId w:val="669"/>
  </w:num>
  <w:num w:numId="670">
    <w:abstractNumId w:val="670"/>
  </w:num>
  <w:num w:numId="671">
    <w:abstractNumId w:val="671"/>
  </w:num>
  <w:num w:numId="672">
    <w:abstractNumId w:val="672"/>
  </w:num>
  <w:num w:numId="673">
    <w:abstractNumId w:val="673"/>
  </w:num>
  <w:num w:numId="674">
    <w:abstractNumId w:val="674"/>
  </w:num>
  <w:num w:numId="675">
    <w:abstractNumId w:val="675"/>
  </w:num>
  <w:num w:numId="676">
    <w:abstractNumId w:val="676"/>
  </w:num>
  <w:num w:numId="677">
    <w:abstractNumId w:val="677"/>
  </w:num>
  <w:num w:numId="678">
    <w:abstractNumId w:val="678"/>
  </w:num>
  <w:num w:numId="679">
    <w:abstractNumId w:val="679"/>
  </w:num>
  <w:num w:numId="680">
    <w:abstractNumId w:val="680"/>
  </w:num>
  <w:num w:numId="681">
    <w:abstractNumId w:val="681"/>
  </w:num>
  <w:num w:numId="682">
    <w:abstractNumId w:val="682"/>
  </w:num>
  <w:num w:numId="683">
    <w:abstractNumId w:val="683"/>
  </w:num>
  <w:num w:numId="684">
    <w:abstractNumId w:val="684"/>
  </w:num>
  <w:num w:numId="685">
    <w:abstractNumId w:val="685"/>
  </w:num>
  <w:num w:numId="686">
    <w:abstractNumId w:val="686"/>
  </w:num>
  <w:num w:numId="687">
    <w:abstractNumId w:val="687"/>
  </w:num>
  <w:num w:numId="688">
    <w:abstractNumId w:val="688"/>
  </w:num>
  <w:num w:numId="689">
    <w:abstractNumId w:val="689"/>
  </w:num>
  <w:num w:numId="690">
    <w:abstractNumId w:val="690"/>
  </w:num>
  <w:num w:numId="691">
    <w:abstractNumId w:val="691"/>
  </w:num>
  <w:num w:numId="692">
    <w:abstractNumId w:val="692"/>
  </w:num>
  <w:num w:numId="693">
    <w:abstractNumId w:val="693"/>
  </w:num>
  <w:num w:numId="694">
    <w:abstractNumId w:val="694"/>
  </w:num>
  <w:num w:numId="695">
    <w:abstractNumId w:val="695"/>
  </w:num>
  <w:num w:numId="696">
    <w:abstractNumId w:val="696"/>
  </w:num>
  <w:num w:numId="697">
    <w:abstractNumId w:val="697"/>
  </w:num>
  <w:num w:numId="698">
    <w:abstractNumId w:val="698"/>
  </w:num>
  <w:num w:numId="699">
    <w:abstractNumId w:val="699"/>
  </w:num>
  <w:num w:numId="700">
    <w:abstractNumId w:val="700"/>
  </w:num>
  <w:num w:numId="701">
    <w:abstractNumId w:val="701"/>
  </w:num>
  <w:num w:numId="702">
    <w:abstractNumId w:val="702"/>
  </w:num>
  <w:num w:numId="703">
    <w:abstractNumId w:val="703"/>
  </w:num>
  <w:num w:numId="704">
    <w:abstractNumId w:val="704"/>
  </w:num>
  <w:num w:numId="705">
    <w:abstractNumId w:val="705"/>
  </w:num>
  <w:num w:numId="706">
    <w:abstractNumId w:val="706"/>
  </w:num>
  <w:num w:numId="707">
    <w:abstractNumId w:val="707"/>
  </w:num>
  <w:num w:numId="708">
    <w:abstractNumId w:val="708"/>
  </w:num>
  <w:num w:numId="709">
    <w:abstractNumId w:val="709"/>
  </w:num>
  <w:num w:numId="710">
    <w:abstractNumId w:val="710"/>
  </w:num>
  <w:num w:numId="711">
    <w:abstractNumId w:val="711"/>
  </w:num>
  <w:num w:numId="712">
    <w:abstractNumId w:val="712"/>
  </w:num>
  <w:num w:numId="713">
    <w:abstractNumId w:val="713"/>
  </w:num>
  <w:num w:numId="714">
    <w:abstractNumId w:val="714"/>
  </w:num>
  <w:num w:numId="715">
    <w:abstractNumId w:val="715"/>
  </w:num>
  <w:num w:numId="716">
    <w:abstractNumId w:val="716"/>
  </w:num>
  <w:num w:numId="717">
    <w:abstractNumId w:val="717"/>
  </w:num>
  <w:num w:numId="718">
    <w:abstractNumId w:val="718"/>
  </w:num>
  <w:num w:numId="719">
    <w:abstractNumId w:val="719"/>
  </w:num>
  <w:num w:numId="720">
    <w:abstractNumId w:val="720"/>
  </w:num>
  <w:num w:numId="721">
    <w:abstractNumId w:val="721"/>
  </w:num>
  <w:num w:numId="722">
    <w:abstractNumId w:val="722"/>
  </w:num>
  <w:num w:numId="723">
    <w:abstractNumId w:val="723"/>
  </w:num>
  <w:num w:numId="724">
    <w:abstractNumId w:val="724"/>
  </w:num>
  <w:num w:numId="725">
    <w:abstractNumId w:val="725"/>
  </w:num>
  <w:num w:numId="726">
    <w:abstractNumId w:val="726"/>
  </w:num>
  <w:num w:numId="727">
    <w:abstractNumId w:val="727"/>
  </w:num>
  <w:num w:numId="728">
    <w:abstractNumId w:val="728"/>
  </w:num>
  <w:num w:numId="729">
    <w:abstractNumId w:val="729"/>
  </w:num>
  <w:num w:numId="730">
    <w:abstractNumId w:val="730"/>
  </w:num>
  <w:num w:numId="731">
    <w:abstractNumId w:val="731"/>
  </w:num>
  <w:num w:numId="732">
    <w:abstractNumId w:val="732"/>
  </w:num>
  <w:num w:numId="733">
    <w:abstractNumId w:val="733"/>
  </w:num>
  <w:num w:numId="734">
    <w:abstractNumId w:val="734"/>
  </w:num>
  <w:num w:numId="735">
    <w:abstractNumId w:val="735"/>
  </w:num>
  <w:num w:numId="736">
    <w:abstractNumId w:val="736"/>
  </w:num>
  <w:num w:numId="737">
    <w:abstractNumId w:val="737"/>
  </w:num>
  <w:num w:numId="738">
    <w:abstractNumId w:val="738"/>
  </w:num>
  <w:num w:numId="739">
    <w:abstractNumId w:val="739"/>
  </w:num>
  <w:num w:numId="740">
    <w:abstractNumId w:val="740"/>
  </w:num>
  <w:num w:numId="741">
    <w:abstractNumId w:val="741"/>
  </w:num>
  <w:num w:numId="742">
    <w:abstractNumId w:val="742"/>
  </w:num>
  <w:num w:numId="743">
    <w:abstractNumId w:val="743"/>
  </w:num>
  <w:num w:numId="744">
    <w:abstractNumId w:val="744"/>
  </w:num>
  <w:num w:numId="745">
    <w:abstractNumId w:val="745"/>
  </w:num>
  <w:num w:numId="746">
    <w:abstractNumId w:val="746"/>
  </w:num>
  <w:num w:numId="747">
    <w:abstractNumId w:val="747"/>
  </w:num>
  <w:num w:numId="748">
    <w:abstractNumId w:val="748"/>
  </w:num>
  <w:num w:numId="749">
    <w:abstractNumId w:val="749"/>
  </w:num>
  <w:num w:numId="750">
    <w:abstractNumId w:val="750"/>
  </w:num>
  <w:num w:numId="751">
    <w:abstractNumId w:val="751"/>
  </w:num>
  <w:num w:numId="752">
    <w:abstractNumId w:val="752"/>
  </w:num>
  <w:num w:numId="753">
    <w:abstractNumId w:val="753"/>
  </w:num>
  <w:num w:numId="754">
    <w:abstractNumId w:val="754"/>
  </w:num>
  <w:num w:numId="755">
    <w:abstractNumId w:val="755"/>
  </w:num>
  <w:num w:numId="756">
    <w:abstractNumId w:val="756"/>
  </w:num>
  <w:num w:numId="757">
    <w:abstractNumId w:val="757"/>
  </w:num>
  <w:num w:numId="758">
    <w:abstractNumId w:val="758"/>
  </w:num>
  <w:num w:numId="759">
    <w:abstractNumId w:val="759"/>
  </w:num>
  <w:num w:numId="760">
    <w:abstractNumId w:val="760"/>
  </w:num>
  <w:num w:numId="761">
    <w:abstractNumId w:val="761"/>
  </w:num>
  <w:num w:numId="762">
    <w:abstractNumId w:val="762"/>
  </w:num>
  <w:num w:numId="763">
    <w:abstractNumId w:val="763"/>
  </w:num>
  <w:num w:numId="764">
    <w:abstractNumId w:val="764"/>
  </w:num>
  <w:num w:numId="765">
    <w:abstractNumId w:val="765"/>
  </w:num>
  <w:num w:numId="766">
    <w:abstractNumId w:val="766"/>
  </w:num>
  <w:num w:numId="767">
    <w:abstractNumId w:val="767"/>
  </w:num>
  <w:num w:numId="768">
    <w:abstractNumId w:val="768"/>
  </w:num>
  <w:num w:numId="769">
    <w:abstractNumId w:val="769"/>
  </w:num>
  <w:num w:numId="770">
    <w:abstractNumId w:val="770"/>
  </w:num>
  <w:num w:numId="771">
    <w:abstractNumId w:val="771"/>
  </w:num>
  <w:num w:numId="772">
    <w:abstractNumId w:val="772"/>
  </w:num>
  <w:num w:numId="773">
    <w:abstractNumId w:val="773"/>
  </w:num>
  <w:num w:numId="774">
    <w:abstractNumId w:val="774"/>
  </w:num>
  <w:num w:numId="775">
    <w:abstractNumId w:val="775"/>
  </w:num>
  <w:num w:numId="776">
    <w:abstractNumId w:val="776"/>
  </w:num>
  <w:num w:numId="777">
    <w:abstractNumId w:val="777"/>
  </w:num>
  <w:num w:numId="778">
    <w:abstractNumId w:val="778"/>
  </w:num>
  <w:num w:numId="779">
    <w:abstractNumId w:val="779"/>
  </w:num>
  <w:num w:numId="780">
    <w:abstractNumId w:val="780"/>
  </w:num>
  <w:num w:numId="781">
    <w:abstractNumId w:val="781"/>
  </w:num>
  <w:num w:numId="782">
    <w:abstractNumId w:val="782"/>
  </w:num>
  <w:num w:numId="783">
    <w:abstractNumId w:val="783"/>
  </w:num>
  <w:num w:numId="784">
    <w:abstractNumId w:val="7"/>
  </w:num>
  <w:num w:numId="785">
    <w:abstractNumId w:val="7"/>
  </w:num>
  <w:num w:numId="786">
    <w:abstractNumId w:val="7"/>
  </w:num>
  <w:num w:numId="787">
    <w:abstractNumId w:val="7"/>
  </w:num>
  <w:num w:numId="788">
    <w:abstractNumId w:val="7"/>
  </w:num>
  <w:num w:numId="789">
    <w:abstractNumId w:val="7"/>
  </w:num>
  <w:num w:numId="790">
    <w:abstractNumId w:val="7"/>
  </w:num>
  <w:num w:numId="791">
    <w:abstractNumId w:val="7"/>
  </w:num>
  <w:num w:numId="792">
    <w:abstractNumId w:val="7"/>
  </w:num>
  <w:num w:numId="793">
    <w:abstractNumId w:val="7"/>
  </w:num>
  <w:num w:numId="794">
    <w:abstractNumId w:val="7"/>
  </w:num>
  <w:num w:numId="795">
    <w:abstractNumId w:val="7"/>
  </w:num>
  <w:num w:numId="796">
    <w:abstractNumId w:val="7"/>
  </w:num>
  <w:num w:numId="797">
    <w:abstractNumId w:val="7"/>
  </w:num>
  <w:num w:numId="798">
    <w:abstractNumId w:val="7"/>
  </w:num>
  <w:num w:numId="799">
    <w:abstractNumId w:val="7"/>
  </w:num>
  <w:num w:numId="800">
    <w:abstractNumId w:val="7"/>
  </w:num>
  <w:num w:numId="801">
    <w:abstractNumId w:val="7"/>
  </w:num>
  <w:num w:numId="802">
    <w:abstractNumId w:val="7"/>
  </w:num>
  <w:num w:numId="803">
    <w:abstractNumId w:val="7"/>
  </w:num>
  <w:num w:numId="804">
    <w:abstractNumId w:val="7"/>
  </w:num>
  <w:num w:numId="805">
    <w:abstractNumId w:val="7"/>
  </w:num>
  <w:num w:numId="806">
    <w:abstractNumId w:val="7"/>
  </w:num>
  <w:num w:numId="807">
    <w:abstractNumId w:val="7"/>
  </w:num>
  <w:num w:numId="808">
    <w:abstractNumId w:val="7"/>
  </w:num>
  <w:num w:numId="809">
    <w:abstractNumId w:val="7"/>
  </w:num>
  <w:num w:numId="810">
    <w:abstractNumId w:val="7"/>
  </w:num>
  <w:num w:numId="811">
    <w:abstractNumId w:val="35"/>
    <w:lvlOverride w:ilvl="0">
      <w:startOverride w:val="1"/>
    </w:lvlOverride>
  </w:num>
  <w:num w:numId="812">
    <w:abstractNumId w:val="35"/>
  </w:num>
  <w:num w:numId="813">
    <w:abstractNumId w:val="35"/>
  </w:num>
  <w:num w:numId="814">
    <w:abstractNumId w:val="35"/>
    <w:lvlOverride w:ilvl="0">
      <w:startOverride w:val="1"/>
    </w:lvlOverride>
  </w:num>
  <w:num w:numId="815">
    <w:abstractNumId w:val="35"/>
  </w:num>
  <w:num w:numId="816">
    <w:abstractNumId w:val="35"/>
  </w:num>
  <w:num w:numId="817">
    <w:abstractNumId w:val="35"/>
  </w:num>
  <w:num w:numId="818">
    <w:abstractNumId w:val="35"/>
  </w:num>
  <w:num w:numId="819">
    <w:abstractNumId w:val="35"/>
  </w:num>
  <w:num w:numId="820">
    <w:abstractNumId w:val="7"/>
  </w:num>
  <w:num w:numId="821">
    <w:abstractNumId w:val="7"/>
  </w:num>
  <w:num w:numId="822">
    <w:abstractNumId w:val="7"/>
  </w:num>
  <w:num w:numId="823">
    <w:abstractNumId w:val="7"/>
  </w:num>
  <w:num w:numId="824">
    <w:abstractNumId w:val="7"/>
  </w:num>
  <w:num w:numId="825">
    <w:abstractNumId w:val="7"/>
  </w:num>
  <w:num w:numId="826">
    <w:abstractNumId w:val="7"/>
  </w:num>
  <w:num w:numId="827">
    <w:abstractNumId w:val="7"/>
  </w:num>
  <w:num w:numId="828">
    <w:abstractNumId w:val="7"/>
  </w:num>
  <w:num w:numId="829">
    <w:abstractNumId w:val="7"/>
  </w:num>
  <w:num w:numId="830">
    <w:abstractNumId w:val="7"/>
  </w:num>
  <w:num w:numId="831">
    <w:abstractNumId w:val="7"/>
  </w:num>
  <w:num w:numId="832">
    <w:abstractNumId w:val="7"/>
  </w:num>
  <w:num w:numId="833">
    <w:abstractNumId w:val="7"/>
  </w:num>
  <w:num w:numId="834">
    <w:abstractNumId w:val="7"/>
  </w:num>
  <w:num w:numId="835">
    <w:abstractNumId w:val="35"/>
    <w:lvlOverride w:ilvl="0">
      <w:startOverride w:val="1"/>
    </w:lvlOverride>
  </w:num>
  <w:num w:numId="836">
    <w:abstractNumId w:val="35"/>
  </w:num>
  <w:num w:numId="837">
    <w:abstractNumId w:val="35"/>
  </w:num>
  <w:num w:numId="838">
    <w:abstractNumId w:val="35"/>
  </w:num>
  <w:num w:numId="839">
    <w:abstractNumId w:val="35"/>
  </w:num>
  <w:num w:numId="840">
    <w:abstractNumId w:val="35"/>
  </w:num>
  <w:num w:numId="841">
    <w:abstractNumId w:val="35"/>
  </w:num>
  <w:num w:numId="842">
    <w:abstractNumId w:val="35"/>
  </w:num>
  <w:num w:numId="843">
    <w:abstractNumId w:val="35"/>
    <w:lvlOverride w:ilvl="0">
      <w:startOverride w:val="1"/>
    </w:lvlOverride>
  </w:num>
  <w:num w:numId="844">
    <w:abstractNumId w:val="35"/>
  </w:num>
  <w:num w:numId="845">
    <w:abstractNumId w:val="35"/>
  </w:num>
  <w:num w:numId="846">
    <w:abstractNumId w:val="35"/>
  </w:num>
  <w:num w:numId="847">
    <w:abstractNumId w:val="35"/>
  </w:num>
  <w:num w:numId="848">
    <w:abstractNumId w:val="35"/>
  </w:num>
  <w:num w:numId="849">
    <w:abstractNumId w:val="7"/>
  </w:num>
  <w:num w:numId="850">
    <w:abstractNumId w:val="7"/>
  </w:num>
  <w:num w:numId="851">
    <w:abstractNumId w:val="7"/>
  </w:num>
  <w:num w:numId="852">
    <w:abstractNumId w:val="7"/>
  </w:num>
  <w:num w:numId="853">
    <w:abstractNumId w:val="7"/>
  </w:num>
  <w:num w:numId="854">
    <w:abstractNumId w:val="7"/>
  </w:num>
  <w:num w:numId="855">
    <w:abstractNumId w:val="7"/>
  </w:num>
  <w:num w:numId="856">
    <w:abstractNumId w:val="7"/>
  </w:num>
  <w:num w:numId="857">
    <w:abstractNumId w:val="7"/>
  </w:num>
  <w:num w:numId="858">
    <w:abstractNumId w:val="7"/>
  </w:num>
  <w:num w:numId="859">
    <w:abstractNumId w:val="7"/>
  </w:num>
  <w:num w:numId="860">
    <w:abstractNumId w:val="7"/>
  </w:num>
  <w:num w:numId="861">
    <w:abstractNumId w:val="7"/>
  </w:num>
  <w:num w:numId="862">
    <w:abstractNumId w:val="7"/>
  </w:num>
  <w:num w:numId="863">
    <w:abstractNumId w:val="7"/>
  </w:num>
  <w:num w:numId="864">
    <w:abstractNumId w:val="7"/>
  </w:num>
  <w:num w:numId="865">
    <w:abstractNumId w:val="7"/>
  </w:num>
  <w:num w:numId="866">
    <w:abstractNumId w:val="7"/>
  </w:num>
  <w:num w:numId="867">
    <w:abstractNumId w:val="7"/>
  </w:num>
  <w:num w:numId="868">
    <w:abstractNumId w:val="7"/>
  </w:num>
  <w:num w:numId="869">
    <w:abstractNumId w:val="7"/>
  </w:num>
  <w:num w:numId="870">
    <w:abstractNumId w:val="7"/>
  </w:num>
  <w:num w:numId="871">
    <w:abstractNumId w:val="7"/>
  </w:num>
  <w:num w:numId="872">
    <w:abstractNumId w:val="7"/>
  </w:num>
  <w:num w:numId="873">
    <w:abstractNumId w:val="7"/>
  </w:num>
  <w:num w:numId="874">
    <w:abstractNumId w:val="35"/>
    <w:lvlOverride w:ilvl="0">
      <w:startOverride w:val="1"/>
    </w:lvlOverride>
  </w:num>
  <w:num w:numId="875">
    <w:abstractNumId w:val="35"/>
  </w:num>
  <w:num w:numId="876">
    <w:abstractNumId w:val="35"/>
  </w:num>
  <w:num w:numId="877">
    <w:abstractNumId w:val="35"/>
  </w:num>
  <w:num w:numId="878">
    <w:abstractNumId w:val="7"/>
  </w:num>
  <w:num w:numId="879">
    <w:abstractNumId w:val="7"/>
  </w:num>
  <w:num w:numId="880">
    <w:abstractNumId w:val="7"/>
  </w:num>
  <w:num w:numId="881">
    <w:abstractNumId w:val="7"/>
  </w:num>
  <w:num w:numId="882">
    <w:abstractNumId w:val="7"/>
  </w:num>
  <w:num w:numId="883">
    <w:abstractNumId w:val="7"/>
  </w:num>
  <w:num w:numId="884">
    <w:abstractNumId w:val="7"/>
  </w:num>
  <w:num w:numId="885">
    <w:abstractNumId w:val="7"/>
  </w:num>
  <w:num w:numId="886">
    <w:abstractNumId w:val="7"/>
  </w:num>
  <w:num w:numId="887">
    <w:abstractNumId w:val="35"/>
    <w:lvlOverride w:ilvl="0">
      <w:startOverride w:val="1"/>
    </w:lvlOverride>
  </w:num>
  <w:num w:numId="888">
    <w:abstractNumId w:val="35"/>
  </w:num>
  <w:num w:numId="889">
    <w:abstractNumId w:val="35"/>
  </w:num>
  <w:num w:numId="890">
    <w:abstractNumId w:val="35"/>
  </w:num>
  <w:num w:numId="891">
    <w:abstractNumId w:val="35"/>
  </w:num>
  <w:num w:numId="892">
    <w:abstractNumId w:val="35"/>
  </w:num>
  <w:num w:numId="893">
    <w:abstractNumId w:val="35"/>
  </w:num>
  <w:num w:numId="894">
    <w:abstractNumId w:val="7"/>
  </w:num>
  <w:num w:numId="895">
    <w:abstractNumId w:val="7"/>
  </w:num>
  <w:num w:numId="896">
    <w:abstractNumId w:val="7"/>
  </w:num>
  <w:num w:numId="897">
    <w:abstractNumId w:val="7"/>
  </w:num>
  <w:num w:numId="898">
    <w:abstractNumId w:val="7"/>
  </w:num>
  <w:num w:numId="899">
    <w:abstractNumId w:val="7"/>
  </w:num>
  <w:num w:numId="900">
    <w:abstractNumId w:val="7"/>
  </w:num>
  <w:num w:numId="901">
    <w:abstractNumId w:val="7"/>
  </w:num>
  <w:num w:numId="902">
    <w:abstractNumId w:val="7"/>
  </w:num>
  <w:num w:numId="903">
    <w:abstractNumId w:val="7"/>
  </w:num>
  <w:num w:numId="904">
    <w:abstractNumId w:val="7"/>
  </w:num>
  <w:num w:numId="905">
    <w:abstractNumId w:val="7"/>
  </w:num>
  <w:num w:numId="906">
    <w:abstractNumId w:val="7"/>
  </w:num>
  <w:num w:numId="907">
    <w:abstractNumId w:val="7"/>
  </w:num>
  <w:num w:numId="908">
    <w:abstractNumId w:val="7"/>
  </w:num>
  <w:num w:numId="909">
    <w:abstractNumId w:val="7"/>
  </w:num>
  <w:num w:numId="910">
    <w:abstractNumId w:val="7"/>
  </w:num>
  <w:num w:numId="911">
    <w:abstractNumId w:val="7"/>
  </w:num>
  <w:num w:numId="912">
    <w:abstractNumId w:val="7"/>
  </w:num>
  <w:num w:numId="913">
    <w:abstractNumId w:val="7"/>
  </w:num>
  <w:num w:numId="914">
    <w:abstractNumId w:val="7"/>
  </w:num>
  <w:num w:numId="915">
    <w:abstractNumId w:val="7"/>
  </w:num>
  <w:num w:numId="916">
    <w:abstractNumId w:val="7"/>
  </w:num>
  <w:num w:numId="917">
    <w:abstractNumId w:val="7"/>
  </w:num>
  <w:num w:numId="918">
    <w:abstractNumId w:val="7"/>
  </w:num>
  <w:num w:numId="919">
    <w:abstractNumId w:val="7"/>
  </w:num>
  <w:num w:numId="920">
    <w:abstractNumId w:val="7"/>
  </w:num>
  <w:num w:numId="921">
    <w:abstractNumId w:val="7"/>
  </w:num>
  <w:num w:numId="922">
    <w:abstractNumId w:val="7"/>
  </w:num>
  <w:num w:numId="923">
    <w:abstractNumId w:val="7"/>
  </w:num>
  <w:num w:numId="924">
    <w:abstractNumId w:val="7"/>
  </w:num>
  <w:num w:numId="925">
    <w:abstractNumId w:val="7"/>
  </w:num>
  <w:num w:numId="926">
    <w:abstractNumId w:val="7"/>
  </w:num>
  <w:num w:numId="927">
    <w:abstractNumId w:val="7"/>
  </w:num>
  <w:num w:numId="928">
    <w:abstractNumId w:val="7"/>
  </w:num>
  <w:num w:numId="929">
    <w:abstractNumId w:val="7"/>
  </w:num>
  <w:num w:numId="930">
    <w:abstractNumId w:val="7"/>
  </w:num>
  <w:num w:numId="931">
    <w:abstractNumId w:val="7"/>
  </w:num>
  <w:num w:numId="932">
    <w:abstractNumId w:val="7"/>
  </w:num>
  <w:num w:numId="933">
    <w:abstractNumId w:val="7"/>
  </w:num>
  <w:num w:numId="934">
    <w:abstractNumId w:val="7"/>
  </w:num>
  <w:num w:numId="935">
    <w:abstractNumId w:val="7"/>
  </w:num>
  <w:num w:numId="936">
    <w:abstractNumId w:val="7"/>
  </w:num>
  <w:num w:numId="937">
    <w:abstractNumId w:val="7"/>
  </w:num>
  <w:num w:numId="938">
    <w:abstractNumId w:val="7"/>
  </w:num>
  <w:num w:numId="939">
    <w:abstractNumId w:val="7"/>
  </w:num>
  <w:num w:numId="940">
    <w:abstractNumId w:val="7"/>
  </w:num>
  <w:num w:numId="941">
    <w:abstractNumId w:val="7"/>
  </w:num>
  <w:num w:numId="942">
    <w:abstractNumId w:val="7"/>
  </w:num>
  <w:num w:numId="943">
    <w:abstractNumId w:val="7"/>
  </w:num>
  <w:num w:numId="944">
    <w:abstractNumId w:val="7"/>
  </w:num>
  <w:num w:numId="945">
    <w:abstractNumId w:val="7"/>
  </w:num>
  <w:num w:numId="946">
    <w:abstractNumId w:val="7"/>
  </w:num>
  <w:num w:numId="947">
    <w:abstractNumId w:val="7"/>
  </w:num>
  <w:num w:numId="948">
    <w:abstractNumId w:val="7"/>
  </w:num>
  <w:num w:numId="949">
    <w:abstractNumId w:val="7"/>
  </w:num>
  <w:num w:numId="950">
    <w:abstractNumId w:val="7"/>
  </w:num>
  <w:num w:numId="951">
    <w:abstractNumId w:val="7"/>
  </w:num>
  <w:num w:numId="952">
    <w:abstractNumId w:val="7"/>
  </w:num>
  <w:num w:numId="953">
    <w:abstractNumId w:val="7"/>
  </w:num>
  <w:num w:numId="954">
    <w:abstractNumId w:val="7"/>
  </w:num>
  <w:num w:numId="955">
    <w:abstractNumId w:val="7"/>
  </w:num>
  <w:num w:numId="956">
    <w:abstractNumId w:val="7"/>
  </w:num>
  <w:num w:numId="957">
    <w:abstractNumId w:val="7"/>
  </w:num>
  <w:num w:numId="958">
    <w:abstractNumId w:val="7"/>
  </w:num>
  <w:num w:numId="959">
    <w:abstractNumId w:val="7"/>
  </w:num>
  <w:num w:numId="960">
    <w:abstractNumId w:val="7"/>
  </w:num>
  <w:num w:numId="961">
    <w:abstractNumId w:val="7"/>
  </w:num>
  <w:num w:numId="962">
    <w:abstractNumId w:val="7"/>
  </w:num>
  <w:num w:numId="963">
    <w:abstractNumId w:val="7"/>
  </w:num>
  <w:num w:numId="964">
    <w:abstractNumId w:val="7"/>
  </w:num>
  <w:num w:numId="965">
    <w:abstractNumId w:val="7"/>
  </w:num>
  <w:num w:numId="966">
    <w:abstractNumId w:val="7"/>
  </w:num>
  <w:num w:numId="967">
    <w:abstractNumId w:val="7"/>
  </w:num>
  <w:num w:numId="968">
    <w:abstractNumId w:val="7"/>
  </w:num>
  <w:num w:numId="969">
    <w:abstractNumId w:val="7"/>
  </w:num>
  <w:num w:numId="970">
    <w:abstractNumId w:val="7"/>
  </w:num>
  <w:num w:numId="971">
    <w:abstractNumId w:val="7"/>
  </w:num>
  <w:num w:numId="972">
    <w:abstractNumId w:val="7"/>
  </w:num>
  <w:num w:numId="973">
    <w:abstractNumId w:val="7"/>
  </w:num>
  <w:num w:numId="974">
    <w:abstractNumId w:val="7"/>
  </w:num>
  <w:num w:numId="975">
    <w:abstractNumId w:val="7"/>
  </w:num>
  <w:num w:numId="976">
    <w:abstractNumId w:val="7"/>
  </w:num>
  <w:num w:numId="977">
    <w:abstractNumId w:val="7"/>
  </w:num>
  <w:num w:numId="978">
    <w:abstractNumId w:val="7"/>
  </w:num>
  <w:num w:numId="979">
    <w:abstractNumId w:val="7"/>
  </w:num>
  <w:num w:numId="980">
    <w:abstractNumId w:val="7"/>
  </w:num>
  <w:num w:numId="981">
    <w:abstractNumId w:val="7"/>
  </w:num>
  <w:num w:numId="982">
    <w:abstractNumId w:val="7"/>
  </w:num>
  <w:num w:numId="983">
    <w:abstractNumId w:val="7"/>
  </w:num>
  <w:num w:numId="984">
    <w:abstractNumId w:val="7"/>
  </w:num>
  <w:num w:numId="985">
    <w:abstractNumId w:val="7"/>
  </w:num>
  <w:num w:numId="986">
    <w:abstractNumId w:val="7"/>
  </w:num>
  <w:num w:numId="987">
    <w:abstractNumId w:val="7"/>
  </w:num>
  <w:num w:numId="988">
    <w:abstractNumId w:val="7"/>
  </w:num>
  <w:num w:numId="989">
    <w:abstractNumId w:val="7"/>
  </w:num>
  <w:num w:numId="990">
    <w:abstractNumId w:val="7"/>
  </w:num>
  <w:num w:numId="991">
    <w:abstractNumId w:val="7"/>
  </w:num>
  <w:num w:numId="992">
    <w:abstractNumId w:val="7"/>
  </w:num>
  <w:num w:numId="993">
    <w:abstractNumId w:val="7"/>
  </w:num>
  <w:num w:numId="994">
    <w:abstractNumId w:val="7"/>
  </w:num>
  <w:num w:numId="995">
    <w:abstractNumId w:val="7"/>
  </w:num>
  <w:num w:numId="996">
    <w:abstractNumId w:val="7"/>
  </w:num>
  <w:num w:numId="997">
    <w:abstractNumId w:val="7"/>
  </w:num>
  <w:num w:numId="998">
    <w:abstractNumId w:val="7"/>
  </w:num>
  <w:num w:numId="999">
    <w:abstractNumId w:val="7"/>
  </w:num>
  <w:num w:numId="1000">
    <w:abstractNumId w:val="7"/>
  </w:num>
  <w:num w:numId="1001">
    <w:abstractNumId w:val="7"/>
  </w:num>
  <w:num w:numId="1002">
    <w:abstractNumId w:val="7"/>
  </w:num>
  <w:num w:numId="1003">
    <w:abstractNumId w:val="7"/>
  </w:num>
  <w:num w:numId="1004">
    <w:abstractNumId w:val="7"/>
  </w:num>
  <w:num w:numId="1005">
    <w:abstractNumId w:val="7"/>
  </w:num>
  <w:num w:numId="1006">
    <w:abstractNumId w:val="7"/>
  </w:num>
  <w:num w:numId="1007">
    <w:abstractNumId w:val="7"/>
  </w:num>
  <w:num w:numId="1008">
    <w:abstractNumId w:val="7"/>
  </w:num>
  <w:num w:numId="1009">
    <w:abstractNumId w:val="7"/>
  </w:num>
  <w:num w:numId="1010">
    <w:abstractNumId w:val="7"/>
  </w:num>
  <w:num w:numId="1011">
    <w:abstractNumId w:val="7"/>
  </w:num>
  <w:num w:numId="1012">
    <w:abstractNumId w:val="7"/>
  </w:num>
  <w:num w:numId="1013">
    <w:abstractNumId w:val="7"/>
  </w:num>
  <w:num w:numId="1014">
    <w:abstractNumId w:val="7"/>
  </w:num>
  <w:num w:numId="1015">
    <w:abstractNumId w:val="7"/>
  </w:num>
  <w:num w:numId="1016">
    <w:abstractNumId w:val="7"/>
  </w:num>
  <w:num w:numId="1017">
    <w:abstractNumId w:val="7"/>
  </w:num>
  <w:num w:numId="1018">
    <w:abstractNumId w:val="7"/>
  </w:num>
  <w:num w:numId="1019">
    <w:abstractNumId w:val="7"/>
  </w:num>
  <w:num w:numId="1020">
    <w:abstractNumId w:val="7"/>
  </w:num>
  <w:num w:numId="1021">
    <w:abstractNumId w:val="7"/>
  </w:num>
  <w:num w:numId="1022">
    <w:abstractNumId w:val="7"/>
  </w:num>
  <w:num w:numId="1023">
    <w:abstractNumId w:val="7"/>
  </w:num>
  <w:num w:numId="1024">
    <w:abstractNumId w:val="7"/>
  </w:num>
  <w:num w:numId="1025">
    <w:abstractNumId w:val="7"/>
  </w:num>
  <w:num w:numId="1026">
    <w:abstractNumId w:val="7"/>
  </w:num>
  <w:num w:numId="1027">
    <w:abstractNumId w:val="7"/>
  </w:num>
  <w:num w:numId="1028">
    <w:abstractNumId w:val="7"/>
  </w:num>
  <w:num w:numId="1029">
    <w:abstractNumId w:val="7"/>
  </w:num>
  <w:num w:numId="1030">
    <w:abstractNumId w:val="7"/>
  </w:num>
  <w:num w:numId="1031">
    <w:abstractNumId w:val="7"/>
  </w:num>
  <w:num w:numId="1032">
    <w:abstractNumId w:val="7"/>
  </w:num>
  <w:num w:numId="1033">
    <w:abstractNumId w:val="7"/>
  </w:num>
  <w:num w:numId="1034">
    <w:abstractNumId w:val="7"/>
  </w:num>
  <w:num w:numId="1035">
    <w:abstractNumId w:val="7"/>
  </w:num>
  <w:num w:numId="1036">
    <w:abstractNumId w:val="7"/>
  </w:num>
  <w:num w:numId="1037">
    <w:abstractNumId w:val="7"/>
  </w:num>
  <w:num w:numId="1038">
    <w:abstractNumId w:val="7"/>
  </w:num>
  <w:num w:numId="1039">
    <w:abstractNumId w:val="7"/>
  </w:num>
  <w:num w:numId="1040">
    <w:abstractNumId w:val="7"/>
  </w:num>
  <w:num w:numId="1041">
    <w:abstractNumId w:val="7"/>
  </w:num>
  <w:num w:numId="1042">
    <w:abstractNumId w:val="7"/>
  </w:num>
  <w:num w:numId="1043">
    <w:abstractNumId w:val="7"/>
  </w:num>
  <w:num w:numId="1044">
    <w:abstractNumId w:val="7"/>
  </w:num>
  <w:num w:numId="1045">
    <w:abstractNumId w:val="7"/>
  </w:num>
  <w:num w:numId="1046">
    <w:abstractNumId w:val="7"/>
  </w:num>
  <w:num w:numId="1047">
    <w:abstractNumId w:val="7"/>
  </w:num>
  <w:num w:numId="1048">
    <w:abstractNumId w:val="7"/>
  </w:num>
  <w:num w:numId="1049">
    <w:abstractNumId w:val="7"/>
  </w:num>
  <w:num w:numId="1050">
    <w:abstractNumId w:val="7"/>
  </w:num>
  <w:num w:numId="1051">
    <w:abstractNumId w:val="7"/>
  </w:num>
  <w:num w:numId="1052">
    <w:abstractNumId w:val="7"/>
  </w:num>
  <w:num w:numId="1053">
    <w:abstractNumId w:val="7"/>
  </w:num>
  <w:num w:numId="1054">
    <w:abstractNumId w:val="7"/>
  </w:num>
  <w:num w:numId="1055">
    <w:abstractNumId w:val="7"/>
  </w:num>
  <w:num w:numId="1056">
    <w:abstractNumId w:val="7"/>
  </w:num>
  <w:num w:numId="1057">
    <w:abstractNumId w:val="7"/>
  </w:num>
  <w:num w:numId="1058">
    <w:abstractNumId w:val="7"/>
  </w:num>
  <w:num w:numId="1059">
    <w:abstractNumId w:val="7"/>
  </w:num>
  <w:num w:numId="1060">
    <w:abstractNumId w:val="7"/>
  </w:num>
  <w:num w:numId="1061">
    <w:abstractNumId w:val="7"/>
  </w:num>
  <w:num w:numId="1062">
    <w:abstractNumId w:val="7"/>
  </w:num>
  <w:num w:numId="1063">
    <w:abstractNumId w:val="7"/>
  </w:num>
  <w:num w:numId="1064">
    <w:abstractNumId w:val="7"/>
  </w:num>
  <w:num w:numId="1065">
    <w:abstractNumId w:val="7"/>
  </w:num>
  <w:num w:numId="1066">
    <w:abstractNumId w:val="7"/>
  </w:num>
  <w:num w:numId="1067">
    <w:abstractNumId w:val="7"/>
  </w:num>
  <w:num w:numId="1068">
    <w:abstractNumId w:val="7"/>
  </w:num>
  <w:num w:numId="1069">
    <w:abstractNumId w:val="7"/>
  </w:num>
  <w:num w:numId="1070">
    <w:abstractNumId w:val="7"/>
  </w:num>
  <w:num w:numId="1071">
    <w:abstractNumId w:val="7"/>
  </w:num>
  <w:num w:numId="1072">
    <w:abstractNumId w:val="7"/>
  </w:num>
  <w:num w:numId="1073">
    <w:abstractNumId w:val="7"/>
  </w:num>
  <w:num w:numId="1074">
    <w:abstractNumId w:val="7"/>
  </w:num>
  <w:num w:numId="1075">
    <w:abstractNumId w:val="7"/>
  </w:num>
  <w:num w:numId="1076">
    <w:abstractNumId w:val="7"/>
  </w:num>
  <w:num w:numId="1077">
    <w:abstractNumId w:val="7"/>
  </w:num>
  <w:num w:numId="1078">
    <w:abstractNumId w:val="7"/>
  </w:num>
  <w:num w:numId="1079">
    <w:abstractNumId w:val="7"/>
  </w:num>
  <w:num w:numId="1080">
    <w:abstractNumId w:val="7"/>
  </w:num>
  <w:num w:numId="1081">
    <w:abstractNumId w:val="7"/>
  </w:num>
  <w:num w:numId="1082">
    <w:abstractNumId w:val="7"/>
  </w:num>
  <w:num w:numId="1083">
    <w:abstractNumId w:val="7"/>
  </w:num>
  <w:num w:numId="1084">
    <w:abstractNumId w:val="7"/>
  </w:num>
  <w:num w:numId="1085">
    <w:abstractNumId w:val="7"/>
  </w:num>
  <w:num w:numId="1086">
    <w:abstractNumId w:val="7"/>
  </w:num>
  <w:num w:numId="1087">
    <w:abstractNumId w:val="7"/>
  </w:num>
  <w:num w:numId="1088">
    <w:abstractNumId w:val="7"/>
  </w:num>
  <w:num w:numId="1089">
    <w:abstractNumId w:val="7"/>
  </w:num>
  <w:num w:numId="1090">
    <w:abstractNumId w:val="7"/>
  </w:num>
  <w:num w:numId="1091">
    <w:abstractNumId w:val="7"/>
  </w:num>
  <w:num w:numId="1092">
    <w:abstractNumId w:val="7"/>
  </w:num>
  <w:num w:numId="1093">
    <w:abstractNumId w:val="7"/>
  </w:num>
  <w:num w:numId="1094">
    <w:abstractNumId w:val="7"/>
  </w:num>
  <w:num w:numId="1095">
    <w:abstractNumId w:val="7"/>
  </w:num>
  <w:num w:numId="1096">
    <w:abstractNumId w:val="7"/>
  </w:num>
  <w:num w:numId="1097">
    <w:abstractNumId w:val="7"/>
  </w:num>
  <w:num w:numId="1098">
    <w:abstractNumId w:val="7"/>
  </w:num>
  <w:num w:numId="1099">
    <w:abstractNumId w:val="7"/>
  </w:num>
  <w:num w:numId="1100">
    <w:abstractNumId w:val="7"/>
  </w:num>
  <w:num w:numId="1101">
    <w:abstractNumId w:val="7"/>
  </w:num>
  <w:num w:numId="1102">
    <w:abstractNumId w:val="7"/>
  </w:num>
  <w:num w:numId="1103">
    <w:abstractNumId w:val="7"/>
  </w:num>
  <w:num w:numId="1104">
    <w:abstractNumId w:val="7"/>
  </w:num>
  <w:num w:numId="1105">
    <w:abstractNumId w:val="7"/>
  </w:num>
  <w:num w:numId="1106">
    <w:abstractNumId w:val="7"/>
  </w:num>
  <w:num w:numId="1107">
    <w:abstractNumId w:val="7"/>
  </w:num>
  <w:num w:numId="1108">
    <w:abstractNumId w:val="7"/>
  </w:num>
  <w:num w:numId="1109">
    <w:abstractNumId w:val="7"/>
  </w:num>
  <w:num w:numId="1110">
    <w:abstractNumId w:val="7"/>
  </w:num>
  <w:num w:numId="1111">
    <w:abstractNumId w:val="7"/>
  </w:num>
  <w:num w:numId="1112">
    <w:abstractNumId w:val="7"/>
  </w:num>
  <w:num w:numId="1113">
    <w:abstractNumId w:val="7"/>
  </w:num>
  <w:num w:numId="1114">
    <w:abstractNumId w:val="7"/>
  </w:num>
  <w:num w:numId="1115">
    <w:abstractNumId w:val="7"/>
  </w:num>
  <w:num w:numId="1116">
    <w:abstractNumId w:val="7"/>
  </w:num>
  <w:num w:numId="1117">
    <w:abstractNumId w:val="7"/>
  </w:num>
  <w:num w:numId="1118">
    <w:abstractNumId w:val="7"/>
  </w:num>
  <w:num w:numId="1119">
    <w:abstractNumId w:val="7"/>
  </w:num>
  <w:num w:numId="1120">
    <w:abstractNumId w:val="7"/>
  </w:num>
  <w:num w:numId="1121">
    <w:abstractNumId w:val="7"/>
  </w:num>
  <w:num w:numId="1122">
    <w:abstractNumId w:val="7"/>
  </w:num>
  <w:num w:numId="1123">
    <w:abstractNumId w:val="7"/>
  </w:num>
  <w:num w:numId="1124">
    <w:abstractNumId w:val="7"/>
  </w:num>
  <w:num w:numId="1125">
    <w:abstractNumId w:val="7"/>
  </w:num>
  <w:num w:numId="1126">
    <w:abstractNumId w:val="7"/>
  </w:num>
  <w:num w:numId="1127">
    <w:abstractNumId w:val="7"/>
  </w:num>
  <w:num w:numId="1128">
    <w:abstractNumId w:val="7"/>
  </w:num>
  <w:num w:numId="1129">
    <w:abstractNumId w:val="7"/>
  </w:num>
  <w:num w:numId="1130">
    <w:abstractNumId w:val="7"/>
  </w:num>
  <w:num w:numId="1131">
    <w:abstractNumId w:val="7"/>
  </w:num>
  <w:num w:numId="1132">
    <w:abstractNumId w:val="7"/>
  </w:num>
  <w:num w:numId="1133">
    <w:abstractNumId w:val="7"/>
  </w:num>
  <w:num w:numId="1134">
    <w:abstractNumId w:val="7"/>
  </w:num>
  <w:num w:numId="1135">
    <w:abstractNumId w:val="7"/>
  </w:num>
  <w:num w:numId="1136">
    <w:abstractNumId w:val="7"/>
  </w:num>
  <w:num w:numId="1137">
    <w:abstractNumId w:val="7"/>
  </w:num>
  <w:num w:numId="1138">
    <w:abstractNumId w:val="7"/>
  </w:num>
  <w:num w:numId="1139">
    <w:abstractNumId w:val="7"/>
  </w:num>
  <w:num w:numId="1140">
    <w:abstractNumId w:val="7"/>
  </w:num>
  <w:num w:numId="1141">
    <w:abstractNumId w:val="7"/>
  </w:num>
  <w:num w:numId="1142">
    <w:abstractNumId w:val="7"/>
  </w:num>
  <w:num w:numId="1143">
    <w:abstractNumId w:val="7"/>
  </w:num>
  <w:num w:numId="1144">
    <w:abstractNumId w:val="7"/>
  </w:num>
  <w:num w:numId="1145">
    <w:abstractNumId w:val="7"/>
  </w:num>
  <w:num w:numId="1146">
    <w:abstractNumId w:val="7"/>
  </w:num>
  <w:num w:numId="1147">
    <w:abstractNumId w:val="7"/>
  </w:num>
  <w:num w:numId="1148">
    <w:abstractNumId w:val="7"/>
  </w:num>
  <w:num w:numId="1149">
    <w:abstractNumId w:val="7"/>
  </w:num>
  <w:num w:numId="1150">
    <w:abstractNumId w:val="7"/>
  </w:num>
  <w:num w:numId="1151">
    <w:abstractNumId w:val="7"/>
  </w:num>
  <w:num w:numId="1152">
    <w:abstractNumId w:val="7"/>
  </w:num>
  <w:num w:numId="1153">
    <w:abstractNumId w:val="7"/>
  </w:num>
  <w:num w:numId="1154">
    <w:abstractNumId w:val="7"/>
  </w:num>
  <w:num w:numId="1155">
    <w:abstractNumId w:val="7"/>
  </w:num>
  <w:num w:numId="1156">
    <w:abstractNumId w:val="7"/>
  </w:num>
  <w:num w:numId="1157">
    <w:abstractNumId w:val="7"/>
  </w:num>
  <w:num w:numId="1158">
    <w:abstractNumId w:val="7"/>
  </w:num>
  <w:num w:numId="1159">
    <w:abstractNumId w:val="7"/>
  </w:num>
  <w:num w:numId="1160">
    <w:abstractNumId w:val="7"/>
  </w:num>
  <w:num w:numId="1161">
    <w:abstractNumId w:val="7"/>
  </w:num>
  <w:num w:numId="1162">
    <w:abstractNumId w:val="7"/>
  </w:num>
  <w:num w:numId="1163">
    <w:abstractNumId w:val="7"/>
  </w:num>
  <w:num w:numId="1164">
    <w:abstractNumId w:val="7"/>
  </w:num>
  <w:num w:numId="1165">
    <w:abstractNumId w:val="7"/>
  </w:num>
  <w:num w:numId="1166">
    <w:abstractNumId w:val="7"/>
  </w:num>
  <w:num w:numId="1167">
    <w:abstractNumId w:val="7"/>
  </w:num>
  <w:num w:numId="1168">
    <w:abstractNumId w:val="7"/>
  </w:num>
  <w:num w:numId="1169">
    <w:abstractNumId w:val="7"/>
  </w:num>
  <w:num w:numId="1170">
    <w:abstractNumId w:val="7"/>
  </w:num>
  <w:num w:numId="1171">
    <w:abstractNumId w:val="7"/>
  </w:num>
  <w:num w:numId="1172">
    <w:abstractNumId w:val="7"/>
  </w:num>
  <w:num w:numId="1173">
    <w:abstractNumId w:val="7"/>
  </w:num>
  <w:num w:numId="1174">
    <w:abstractNumId w:val="7"/>
  </w:num>
  <w:num w:numId="1175">
    <w:abstractNumId w:val="7"/>
  </w:num>
  <w:num w:numId="1176">
    <w:abstractNumId w:val="7"/>
  </w:num>
  <w:num w:numId="1177">
    <w:abstractNumId w:val="7"/>
  </w:num>
  <w:num w:numId="1178">
    <w:abstractNumId w:val="7"/>
  </w:num>
  <w:num w:numId="1179">
    <w:abstractNumId w:val="7"/>
  </w:num>
  <w:num w:numId="1180">
    <w:abstractNumId w:val="7"/>
  </w:num>
  <w:num w:numId="1181">
    <w:abstractNumId w:val="7"/>
  </w:num>
  <w:num w:numId="1182">
    <w:abstractNumId w:val="7"/>
  </w:num>
  <w:num w:numId="1183">
    <w:abstractNumId w:val="7"/>
  </w:num>
  <w:num w:numId="1184">
    <w:abstractNumId w:val="7"/>
  </w:num>
  <w:num w:numId="1185">
    <w:abstractNumId w:val="7"/>
  </w:num>
  <w:num w:numId="1186">
    <w:abstractNumId w:val="7"/>
  </w:num>
  <w:num w:numId="1187">
    <w:abstractNumId w:val="7"/>
  </w:num>
  <w:num w:numId="1188">
    <w:abstractNumId w:val="7"/>
  </w:num>
  <w:num w:numId="1189">
    <w:abstractNumId w:val="7"/>
  </w:num>
  <w:num w:numId="1190">
    <w:abstractNumId w:val="7"/>
  </w:num>
  <w:num w:numId="1191">
    <w:abstractNumId w:val="7"/>
  </w:num>
  <w:num w:numId="1192">
    <w:abstractNumId w:val="7"/>
  </w:num>
  <w:num w:numId="1193">
    <w:abstractNumId w:val="7"/>
  </w:num>
  <w:num w:numId="1194">
    <w:abstractNumId w:val="7"/>
  </w:num>
  <w:num w:numId="1195">
    <w:abstractNumId w:val="7"/>
  </w:num>
  <w:num w:numId="1196">
    <w:abstractNumId w:val="7"/>
  </w:num>
  <w:num w:numId="1197">
    <w:abstractNumId w:val="7"/>
  </w:num>
  <w:num w:numId="1198">
    <w:abstractNumId w:val="7"/>
  </w:num>
  <w:num w:numId="1199">
    <w:abstractNumId w:val="7"/>
  </w:num>
  <w:num w:numId="1200">
    <w:abstractNumId w:val="7"/>
  </w:num>
  <w:num w:numId="1201">
    <w:abstractNumId w:val="7"/>
  </w:num>
  <w:num w:numId="1202">
    <w:abstractNumId w:val="7"/>
  </w:num>
  <w:num w:numId="1203">
    <w:abstractNumId w:val="7"/>
  </w:num>
  <w:num w:numId="1204">
    <w:abstractNumId w:val="7"/>
  </w:num>
  <w:num w:numId="1205">
    <w:abstractNumId w:val="7"/>
  </w:num>
  <w:num w:numId="1206">
    <w:abstractNumId w:val="7"/>
  </w:num>
  <w:num w:numId="1207">
    <w:abstractNumId w:val="7"/>
  </w:num>
  <w:num w:numId="1208">
    <w:abstractNumId w:val="7"/>
  </w:num>
  <w:num w:numId="1209">
    <w:abstractNumId w:val="7"/>
  </w:num>
  <w:num w:numId="1210">
    <w:abstractNumId w:val="7"/>
  </w:num>
  <w:num w:numId="1211">
    <w:abstractNumId w:val="7"/>
  </w:num>
  <w:num w:numId="1212">
    <w:abstractNumId w:val="7"/>
  </w:num>
  <w:num w:numId="1213">
    <w:abstractNumId w:val="7"/>
  </w:num>
  <w:num w:numId="1214">
    <w:abstractNumId w:val="7"/>
  </w:num>
  <w:num w:numId="1215">
    <w:abstractNumId w:val="7"/>
  </w:num>
  <w:num w:numId="1216">
    <w:abstractNumId w:val="7"/>
  </w:num>
  <w:num w:numId="1217">
    <w:abstractNumId w:val="35"/>
    <w:lvlOverride w:ilvl="0">
      <w:startOverride w:val="1"/>
    </w:lvlOverride>
  </w:num>
  <w:num w:numId="1218">
    <w:abstractNumId w:val="35"/>
  </w:num>
  <w:num w:numId="1219">
    <w:abstractNumId w:val="35"/>
  </w:num>
  <w:num w:numId="1220">
    <w:abstractNumId w:val="35"/>
  </w:num>
  <w:num w:numId="1221">
    <w:abstractNumId w:val="35"/>
  </w:num>
  <w:num w:numId="1222">
    <w:abstractNumId w:val="35"/>
  </w:num>
  <w:num w:numId="1223">
    <w:abstractNumId w:val="7"/>
  </w:num>
  <w:num w:numId="1224">
    <w:abstractNumId w:val="7"/>
  </w:num>
  <w:num w:numId="1225">
    <w:abstractNumId w:val="7"/>
  </w:num>
  <w:num w:numId="1226">
    <w:abstractNumId w:val="7"/>
  </w:num>
  <w:num w:numId="1227">
    <w:abstractNumId w:val="7"/>
  </w:num>
  <w:num w:numId="1228">
    <w:abstractNumId w:val="7"/>
  </w:num>
  <w:num w:numId="1229">
    <w:abstractNumId w:val="7"/>
  </w:num>
  <w:num w:numId="1230">
    <w:abstractNumId w:val="7"/>
  </w:num>
  <w:num w:numId="1231">
    <w:abstractNumId w:val="7"/>
  </w:num>
  <w:num w:numId="1232">
    <w:abstractNumId w:val="7"/>
  </w:num>
  <w:num w:numId="1233">
    <w:abstractNumId w:val="35"/>
    <w:lvlOverride w:ilvl="0">
      <w:startOverride w:val="1"/>
    </w:lvlOverride>
  </w:num>
  <w:num w:numId="1234">
    <w:abstractNumId w:val="35"/>
  </w:num>
  <w:num w:numId="1235">
    <w:abstractNumId w:val="35"/>
  </w:num>
  <w:num w:numId="1236">
    <w:abstractNumId w:val="35"/>
  </w:num>
  <w:num w:numId="1237">
    <w:abstractNumId w:val="35"/>
  </w:num>
  <w:num w:numId="1238">
    <w:abstractNumId w:val="35"/>
  </w:num>
  <w:num w:numId="1239">
    <w:abstractNumId w:val="35"/>
  </w:num>
  <w:num w:numId="1240">
    <w:abstractNumId w:val="35"/>
  </w:num>
  <w:num w:numId="1241">
    <w:abstractNumId w:val="7"/>
  </w:num>
  <w:num w:numId="1242">
    <w:abstractNumId w:val="7"/>
  </w:num>
  <w:num w:numId="1243">
    <w:abstractNumId w:val="7"/>
  </w:num>
  <w:num w:numId="1244">
    <w:abstractNumId w:val="7"/>
  </w:num>
  <w:num w:numId="1245">
    <w:abstractNumId w:val="7"/>
  </w:num>
  <w:num w:numId="1246">
    <w:abstractNumId w:val="7"/>
  </w:num>
  <w:num w:numId="1247">
    <w:abstractNumId w:val="7"/>
  </w:num>
  <w:num w:numId="1248">
    <w:abstractNumId w:val="7"/>
  </w:num>
  <w:num w:numId="1249">
    <w:abstractNumId w:val="7"/>
  </w:num>
  <w:num w:numId="1250">
    <w:abstractNumId w:val="7"/>
  </w:num>
  <w:num w:numId="1251">
    <w:abstractNumId w:val="7"/>
  </w:num>
  <w:num w:numId="1252">
    <w:abstractNumId w:val="7"/>
  </w:num>
  <w:num w:numId="1253">
    <w:abstractNumId w:val="7"/>
  </w:num>
  <w:num w:numId="1254">
    <w:abstractNumId w:val="7"/>
  </w:num>
  <w:num w:numId="1255">
    <w:abstractNumId w:val="7"/>
  </w:num>
  <w:num w:numId="1256">
    <w:abstractNumId w:val="7"/>
  </w:num>
  <w:num w:numId="1257">
    <w:abstractNumId w:val="7"/>
  </w:num>
  <w:num w:numId="1258">
    <w:abstractNumId w:val="7"/>
  </w:num>
  <w:num w:numId="1259">
    <w:abstractNumId w:val="35"/>
    <w:lvlOverride w:ilvl="0">
      <w:startOverride w:val="1"/>
    </w:lvlOverride>
  </w:num>
  <w:num w:numId="1260">
    <w:abstractNumId w:val="35"/>
  </w:num>
  <w:num w:numId="1261">
    <w:abstractNumId w:val="35"/>
  </w:num>
  <w:num w:numId="1262">
    <w:abstractNumId w:val="35"/>
  </w:num>
  <w:num w:numId="1263">
    <w:abstractNumId w:val="35"/>
  </w:num>
  <w:num w:numId="1264">
    <w:abstractNumId w:val="35"/>
  </w:num>
  <w:num w:numId="1265">
    <w:abstractNumId w:val="35"/>
  </w:num>
  <w:num w:numId="1266">
    <w:abstractNumId w:val="35"/>
  </w:num>
  <w:num w:numId="1267">
    <w:abstractNumId w:val="7"/>
  </w:num>
  <w:num w:numId="1268">
    <w:abstractNumId w:val="7"/>
  </w:num>
  <w:num w:numId="1269">
    <w:abstractNumId w:val="7"/>
  </w:num>
  <w:num w:numId="1270">
    <w:abstractNumId w:val="7"/>
  </w:num>
  <w:num w:numId="1271">
    <w:abstractNumId w:val="7"/>
  </w:num>
  <w:num w:numId="1272">
    <w:abstractNumId w:val="7"/>
  </w:num>
  <w:num w:numId="1273">
    <w:abstractNumId w:val="7"/>
  </w:num>
  <w:num w:numId="1274">
    <w:abstractNumId w:val="7"/>
  </w:num>
  <w:num w:numId="1275">
    <w:abstractNumId w:val="7"/>
  </w:num>
  <w:num w:numId="1276">
    <w:abstractNumId w:val="7"/>
  </w:num>
  <w:num w:numId="1277">
    <w:abstractNumId w:val="7"/>
  </w:num>
  <w:num w:numId="1278">
    <w:abstractNumId w:val="7"/>
  </w:num>
  <w:num w:numId="1279">
    <w:abstractNumId w:val="7"/>
  </w:num>
  <w:num w:numId="1280">
    <w:abstractNumId w:val="7"/>
  </w:num>
  <w:num w:numId="1281">
    <w:abstractNumId w:val="7"/>
  </w:num>
  <w:num w:numId="1282">
    <w:abstractNumId w:val="7"/>
  </w:num>
  <w:num w:numId="1283">
    <w:abstractNumId w:val="7"/>
  </w:num>
  <w:num w:numId="1284">
    <w:abstractNumId w:val="7"/>
  </w:num>
  <w:num w:numId="1285">
    <w:abstractNumId w:val="7"/>
  </w:num>
  <w:num w:numId="1286">
    <w:abstractNumId w:val="7"/>
  </w:num>
  <w:num w:numId="1287">
    <w:abstractNumId w:val="7"/>
  </w:num>
  <w:num w:numId="1288">
    <w:abstractNumId w:val="7"/>
  </w:num>
  <w:num w:numId="1289">
    <w:abstractNumId w:val="7"/>
  </w:num>
  <w:num w:numId="1290">
    <w:abstractNumId w:val="7"/>
  </w:num>
  <w:num w:numId="1291">
    <w:abstractNumId w:val="7"/>
  </w:num>
  <w:num w:numId="1292">
    <w:abstractNumId w:val="7"/>
  </w:num>
  <w:num w:numId="1293">
    <w:abstractNumId w:val="7"/>
  </w:num>
  <w:num w:numId="1294">
    <w:abstractNumId w:val="7"/>
  </w:num>
  <w:num w:numId="1295">
    <w:abstractNumId w:val="7"/>
  </w:num>
  <w:num w:numId="1296">
    <w:abstractNumId w:val="7"/>
  </w:num>
  <w:num w:numId="1297">
    <w:abstractNumId w:val="7"/>
  </w:num>
  <w:num w:numId="1298">
    <w:abstractNumId w:val="35"/>
    <w:lvlOverride w:ilvl="0">
      <w:startOverride w:val="1"/>
    </w:lvlOverride>
  </w:num>
  <w:num w:numId="1299">
    <w:abstractNumId w:val="35"/>
  </w:num>
  <w:num w:numId="1300">
    <w:abstractNumId w:val="35"/>
  </w:num>
  <w:num w:numId="1301">
    <w:abstractNumId w:val="35"/>
  </w:num>
  <w:num w:numId="1302">
    <w:abstractNumId w:val="7"/>
  </w:num>
  <w:num w:numId="1303">
    <w:abstractNumId w:val="7"/>
  </w:num>
  <w:num w:numId="1304">
    <w:abstractNumId w:val="7"/>
  </w:num>
  <w:num w:numId="1305">
    <w:abstractNumId w:val="7"/>
  </w:num>
  <w:num w:numId="1306">
    <w:abstractNumId w:val="7"/>
  </w:num>
  <w:num w:numId="1307">
    <w:abstractNumId w:val="7"/>
  </w:num>
  <w:num w:numId="1308">
    <w:abstractNumId w:val="7"/>
  </w:num>
  <w:num w:numId="1309">
    <w:abstractNumId w:val="7"/>
  </w:num>
  <w:num w:numId="1310">
    <w:abstractNumId w:val="7"/>
  </w:num>
  <w:num w:numId="1311">
    <w:abstractNumId w:val="7"/>
  </w:num>
  <w:num w:numId="1312">
    <w:abstractNumId w:val="7"/>
  </w:num>
  <w:num w:numId="1313">
    <w:abstractNumId w:val="7"/>
  </w:num>
  <w:num w:numId="1314">
    <w:abstractNumId w:val="7"/>
  </w:num>
  <w:num w:numId="1315">
    <w:abstractNumId w:val="7"/>
  </w:num>
  <w:num w:numId="1316">
    <w:abstractNumId w:val="7"/>
  </w:num>
  <w:num w:numId="1317">
    <w:abstractNumId w:val="7"/>
  </w:num>
  <w:num w:numId="1318">
    <w:abstractNumId w:val="7"/>
  </w:num>
  <w:num w:numId="1319">
    <w:abstractNumId w:val="7"/>
  </w:num>
  <w:num w:numId="1320">
    <w:abstractNumId w:val="7"/>
  </w:num>
  <w:num w:numId="1321">
    <w:abstractNumId w:val="7"/>
  </w:num>
  <w:num w:numId="1322">
    <w:abstractNumId w:val="7"/>
  </w:num>
  <w:num w:numId="1323">
    <w:abstractNumId w:val="7"/>
  </w:num>
  <w:num w:numId="1324">
    <w:abstractNumId w:val="7"/>
  </w:num>
  <w:num w:numId="1325">
    <w:abstractNumId w:val="7"/>
  </w:num>
  <w:num w:numId="1326">
    <w:abstractNumId w:val="7"/>
  </w:num>
  <w:num w:numId="1327">
    <w:abstractNumId w:val="7"/>
  </w:num>
  <w:num w:numId="1328">
    <w:abstractNumId w:val="7"/>
  </w:num>
  <w:num w:numId="1329">
    <w:abstractNumId w:val="35"/>
    <w:lvlOverride w:ilvl="0">
      <w:startOverride w:val="1"/>
    </w:lvlOverride>
  </w:num>
  <w:num w:numId="1330">
    <w:abstractNumId w:val="35"/>
  </w:num>
  <w:num w:numId="1331">
    <w:abstractNumId w:val="35"/>
  </w:num>
  <w:num w:numId="1332">
    <w:abstractNumId w:val="35"/>
  </w:num>
  <w:num w:numId="1333">
    <w:abstractNumId w:val="35"/>
  </w:num>
  <w:num w:numId="1334">
    <w:abstractNumId w:val="35"/>
  </w:num>
  <w:num w:numId="1335">
    <w:abstractNumId w:val="35"/>
  </w:num>
  <w:num w:numId="1336">
    <w:abstractNumId w:val="7"/>
  </w:num>
  <w:num w:numId="1337">
    <w:abstractNumId w:val="7"/>
  </w:num>
  <w:num w:numId="1338">
    <w:abstractNumId w:val="7"/>
  </w:num>
  <w:num w:numId="1339">
    <w:abstractNumId w:val="7"/>
  </w:num>
  <w:num w:numId="1340">
    <w:abstractNumId w:val="7"/>
  </w:num>
  <w:num w:numId="1341">
    <w:abstractNumId w:val="7"/>
  </w:num>
  <w:num w:numId="1342">
    <w:abstractNumId w:val="7"/>
  </w:num>
  <w:num w:numId="1343">
    <w:abstractNumId w:val="7"/>
  </w:num>
  <w:num w:numId="1344">
    <w:abstractNumId w:val="7"/>
  </w:num>
  <w:num w:numId="1345">
    <w:abstractNumId w:val="7"/>
  </w:num>
  <w:num w:numId="1346">
    <w:abstractNumId w:val="7"/>
  </w:num>
  <w:num w:numId="1347">
    <w:abstractNumId w:val="7"/>
  </w:num>
  <w:num w:numId="1348">
    <w:abstractNumId w:val="7"/>
  </w:num>
  <w:num w:numId="1349">
    <w:abstractNumId w:val="7"/>
  </w:num>
  <w:num w:numId="1350">
    <w:abstractNumId w:val="7"/>
  </w:num>
  <w:num w:numId="1351">
    <w:abstractNumId w:val="7"/>
  </w:num>
  <w:num w:numId="1352">
    <w:abstractNumId w:val="7"/>
  </w:num>
  <w:num w:numId="1353">
    <w:abstractNumId w:val="7"/>
  </w:num>
  <w:num w:numId="1354">
    <w:abstractNumId w:val="7"/>
  </w:num>
  <w:num w:numId="1355">
    <w:abstractNumId w:val="7"/>
  </w:num>
  <w:num w:numId="1356">
    <w:abstractNumId w:val="7"/>
  </w:num>
  <w:num w:numId="1357">
    <w:abstractNumId w:val="7"/>
  </w:num>
  <w:num w:numId="1358">
    <w:abstractNumId w:val="7"/>
  </w:num>
  <w:num w:numId="1359">
    <w:abstractNumId w:val="7"/>
  </w:num>
  <w:num w:numId="1360">
    <w:abstractNumId w:val="7"/>
  </w:num>
  <w:num w:numId="1361">
    <w:abstractNumId w:val="7"/>
  </w:num>
  <w:num w:numId="1362">
    <w:abstractNumId w:val="7"/>
  </w:num>
  <w:num w:numId="1363">
    <w:abstractNumId w:val="7"/>
  </w:num>
  <w:num w:numId="1364">
    <w:abstractNumId w:val="7"/>
  </w:num>
  <w:num w:numId="1365">
    <w:abstractNumId w:val="7"/>
  </w:num>
  <w:num w:numId="1366">
    <w:abstractNumId w:val="7"/>
  </w:num>
  <w:num w:numId="1367">
    <w:abstractNumId w:val="7"/>
  </w:num>
  <w:num w:numId="1368">
    <w:abstractNumId w:val="7"/>
  </w:num>
  <w:num w:numId="1369">
    <w:abstractNumId w:val="7"/>
  </w:num>
  <w:num w:numId="1370">
    <w:abstractNumId w:val="7"/>
  </w:num>
  <w:num w:numId="1371">
    <w:abstractNumId w:val="7"/>
  </w:num>
  <w:num w:numId="1372">
    <w:abstractNumId w:val="7"/>
  </w:num>
  <w:num w:numId="1373">
    <w:abstractNumId w:val="7"/>
  </w:num>
  <w:num w:numId="1374">
    <w:abstractNumId w:val="7"/>
  </w:num>
  <w:num w:numId="1375">
    <w:abstractNumId w:val="7"/>
  </w:num>
  <w:num w:numId="1376">
    <w:abstractNumId w:val="7"/>
  </w:num>
  <w:num w:numId="1377">
    <w:abstractNumId w:val="7"/>
  </w:num>
  <w:num w:numId="1378">
    <w:abstractNumId w:val="7"/>
  </w:num>
  <w:num w:numId="1379">
    <w:abstractNumId w:val="7"/>
  </w:num>
  <w:num w:numId="1380">
    <w:abstractNumId w:val="7"/>
  </w:num>
  <w:num w:numId="1381">
    <w:abstractNumId w:val="7"/>
  </w:num>
  <w:num w:numId="1382">
    <w:abstractNumId w:val="7"/>
  </w:num>
  <w:num w:numId="1383">
    <w:abstractNumId w:val="7"/>
  </w:num>
  <w:num w:numId="1384">
    <w:abstractNumId w:val="7"/>
  </w:num>
  <w:num w:numId="1385">
    <w:abstractNumId w:val="7"/>
  </w:num>
  <w:num w:numId="1386">
    <w:abstractNumId w:val="7"/>
  </w:num>
  <w:num w:numId="1387">
    <w:abstractNumId w:val="7"/>
  </w:num>
  <w:num w:numId="1388">
    <w:abstractNumId w:val="7"/>
  </w:num>
  <w:num w:numId="1389">
    <w:abstractNumId w:val="7"/>
  </w:num>
  <w:num w:numId="1390">
    <w:abstractNumId w:val="7"/>
  </w:num>
  <w:num w:numId="1391">
    <w:abstractNumId w:val="7"/>
  </w:num>
  <w:num w:numId="1392">
    <w:abstractNumId w:val="7"/>
  </w:num>
  <w:num w:numId="1393">
    <w:abstractNumId w:val="7"/>
  </w:num>
  <w:num w:numId="1394">
    <w:abstractNumId w:val="7"/>
  </w:num>
  <w:num w:numId="1395">
    <w:abstractNumId w:val="7"/>
  </w:num>
  <w:num w:numId="1396">
    <w:abstractNumId w:val="7"/>
  </w:num>
  <w:num w:numId="1397">
    <w:abstractNumId w:val="7"/>
  </w:num>
  <w:num w:numId="1398">
    <w:abstractNumId w:val="7"/>
  </w:num>
  <w:num w:numId="1399">
    <w:abstractNumId w:val="7"/>
  </w:num>
  <w:num w:numId="1400">
    <w:abstractNumId w:val="7"/>
  </w:num>
  <w:num w:numId="1401">
    <w:abstractNumId w:val="7"/>
  </w:num>
  <w:num w:numId="1402">
    <w:abstractNumId w:val="7"/>
  </w:num>
  <w:num w:numId="1403">
    <w:abstractNumId w:val="7"/>
  </w:num>
  <w:num w:numId="1404">
    <w:abstractNumId w:val="7"/>
  </w:num>
  <w:num w:numId="1405">
    <w:abstractNumId w:val="7"/>
  </w:num>
  <w:num w:numId="1406">
    <w:abstractNumId w:val="7"/>
  </w:num>
  <w:num w:numId="1407">
    <w:abstractNumId w:val="7"/>
  </w:num>
  <w:num w:numId="1408">
    <w:abstractNumId w:val="7"/>
  </w:num>
  <w:num w:numId="1409">
    <w:abstractNumId w:val="7"/>
  </w:num>
  <w:num w:numId="1410">
    <w:abstractNumId w:val="7"/>
  </w:num>
  <w:num w:numId="1411">
    <w:abstractNumId w:val="7"/>
  </w:num>
  <w:num w:numId="1412">
    <w:abstractNumId w:val="7"/>
  </w:num>
  <w:num w:numId="1413">
    <w:abstractNumId w:val="7"/>
  </w:num>
  <w:num w:numId="1414">
    <w:abstractNumId w:val="7"/>
  </w:num>
  <w:num w:numId="1415">
    <w:abstractNumId w:val="7"/>
  </w:num>
  <w:num w:numId="1416">
    <w:abstractNumId w:val="7"/>
  </w:num>
  <w:num w:numId="1417">
    <w:abstractNumId w:val="7"/>
  </w:num>
  <w:num w:numId="1418">
    <w:abstractNumId w:val="7"/>
  </w:num>
  <w:num w:numId="1419">
    <w:abstractNumId w:val="7"/>
  </w:num>
  <w:num w:numId="1420">
    <w:abstractNumId w:val="7"/>
  </w:num>
  <w:num w:numId="1421">
    <w:abstractNumId w:val="7"/>
  </w:num>
  <w:num w:numId="1422">
    <w:abstractNumId w:val="7"/>
  </w:num>
  <w:num w:numId="1423">
    <w:abstractNumId w:val="7"/>
  </w:num>
  <w:num w:numId="1424">
    <w:abstractNumId w:val="7"/>
  </w:num>
  <w:num w:numId="1425">
    <w:abstractNumId w:val="7"/>
  </w:num>
  <w:num w:numId="1426">
    <w:abstractNumId w:val="7"/>
  </w:num>
  <w:num w:numId="1427">
    <w:abstractNumId w:val="7"/>
  </w:num>
  <w:num w:numId="1428">
    <w:abstractNumId w:val="7"/>
  </w:num>
  <w:num w:numId="1429">
    <w:abstractNumId w:val="7"/>
  </w:num>
  <w:num w:numId="1430">
    <w:abstractNumId w:val="7"/>
  </w:num>
  <w:num w:numId="1431">
    <w:abstractNumId w:val="7"/>
  </w:num>
  <w:num w:numId="1432">
    <w:abstractNumId w:val="7"/>
  </w:num>
  <w:num w:numId="1433">
    <w:abstractNumId w:val="7"/>
  </w:num>
  <w:num w:numId="1434">
    <w:abstractNumId w:val="7"/>
  </w:num>
  <w:num w:numId="1435">
    <w:abstractNumId w:val="7"/>
  </w:num>
  <w:num w:numId="1436">
    <w:abstractNumId w:val="7"/>
  </w:num>
  <w:num w:numId="1437">
    <w:abstractNumId w:val="7"/>
  </w:num>
  <w:num w:numId="1438">
    <w:abstractNumId w:val="7"/>
  </w:num>
  <w:num w:numId="1439">
    <w:abstractNumId w:val="7"/>
  </w:num>
  <w:num w:numId="1440">
    <w:abstractNumId w:val="7"/>
  </w:num>
  <w:num w:numId="1441">
    <w:abstractNumId w:val="7"/>
  </w:num>
  <w:num w:numId="1442">
    <w:abstractNumId w:val="7"/>
  </w:num>
  <w:num w:numId="1443">
    <w:abstractNumId w:val="7"/>
  </w:num>
  <w:num w:numId="1444">
    <w:abstractNumId w:val="7"/>
  </w:num>
  <w:num w:numId="1445">
    <w:abstractNumId w:val="7"/>
  </w:num>
  <w:num w:numId="1446">
    <w:abstractNumId w:val="7"/>
  </w:num>
  <w:num w:numId="1447">
    <w:abstractNumId w:val="7"/>
  </w:num>
  <w:num w:numId="1448">
    <w:abstractNumId w:val="7"/>
  </w:num>
  <w:num w:numId="1449">
    <w:abstractNumId w:val="7"/>
  </w:num>
  <w:num w:numId="1450">
    <w:abstractNumId w:val="7"/>
  </w:num>
  <w:num w:numId="1451">
    <w:abstractNumId w:val="7"/>
  </w:num>
  <w:num w:numId="1452">
    <w:abstractNumId w:val="7"/>
  </w:num>
  <w:num w:numId="1453">
    <w:abstractNumId w:val="7"/>
  </w:num>
  <w:num w:numId="1454">
    <w:abstractNumId w:val="7"/>
  </w:num>
  <w:num w:numId="1455">
    <w:abstractNumId w:val="7"/>
  </w:num>
  <w:num w:numId="1456">
    <w:abstractNumId w:val="7"/>
  </w:num>
  <w:num w:numId="1457">
    <w:abstractNumId w:val="7"/>
  </w:num>
  <w:num w:numId="1458">
    <w:abstractNumId w:val="7"/>
  </w:num>
  <w:num w:numId="1459">
    <w:abstractNumId w:val="7"/>
  </w:num>
  <w:num w:numId="1460">
    <w:abstractNumId w:val="7"/>
  </w:num>
  <w:num w:numId="1461">
    <w:abstractNumId w:val="7"/>
  </w:num>
  <w:num w:numId="1462">
    <w:abstractNumId w:val="7"/>
  </w:num>
  <w:num w:numId="1463">
    <w:abstractNumId w:val="7"/>
  </w:num>
  <w:num w:numId="1464">
    <w:abstractNumId w:val="7"/>
  </w:num>
  <w:num w:numId="1465">
    <w:abstractNumId w:val="7"/>
  </w:num>
  <w:num w:numId="1466">
    <w:abstractNumId w:val="7"/>
  </w:num>
  <w:num w:numId="1467">
    <w:abstractNumId w:val="7"/>
  </w:num>
  <w:num w:numId="1468">
    <w:abstractNumId w:val="7"/>
  </w:num>
  <w:num w:numId="1469">
    <w:abstractNumId w:val="7"/>
  </w:num>
  <w:num w:numId="1470">
    <w:abstractNumId w:val="7"/>
  </w:num>
  <w:num w:numId="1471">
    <w:abstractNumId w:val="7"/>
  </w:num>
  <w:num w:numId="1472">
    <w:abstractNumId w:val="7"/>
  </w:num>
  <w:num w:numId="1473">
    <w:abstractNumId w:val="7"/>
  </w:num>
  <w:num w:numId="1474">
    <w:abstractNumId w:val="7"/>
  </w:num>
  <w:num w:numId="1475">
    <w:abstractNumId w:val="7"/>
  </w:num>
  <w:num w:numId="1476">
    <w:abstractNumId w:val="7"/>
  </w:num>
  <w:num w:numId="1477">
    <w:abstractNumId w:val="7"/>
  </w:num>
  <w:num w:numId="1478">
    <w:abstractNumId w:val="7"/>
  </w:num>
  <w:num w:numId="1479">
    <w:abstractNumId w:val="7"/>
  </w:num>
  <w:num w:numId="1480">
    <w:abstractNumId w:val="7"/>
  </w:num>
  <w:num w:numId="1481">
    <w:abstractNumId w:val="7"/>
  </w:num>
  <w:num w:numId="1482">
    <w:abstractNumId w:val="7"/>
  </w:num>
  <w:num w:numId="1483">
    <w:abstractNumId w:val="7"/>
  </w:num>
  <w:num w:numId="1484">
    <w:abstractNumId w:val="7"/>
  </w:num>
  <w:num w:numId="1485">
    <w:abstractNumId w:val="7"/>
  </w:num>
  <w:num w:numId="1486">
    <w:abstractNumId w:val="7"/>
  </w:num>
  <w:num w:numId="1487">
    <w:abstractNumId w:val="7"/>
  </w:num>
  <w:num w:numId="1488">
    <w:abstractNumId w:val="7"/>
  </w:num>
  <w:num w:numId="1489">
    <w:abstractNumId w:val="7"/>
  </w:num>
  <w:num w:numId="1490">
    <w:abstractNumId w:val="7"/>
  </w:num>
  <w:num w:numId="1491">
    <w:abstractNumId w:val="7"/>
  </w:num>
  <w:num w:numId="1492">
    <w:abstractNumId w:val="7"/>
  </w:num>
  <w:num w:numId="1493">
    <w:abstractNumId w:val="7"/>
  </w:num>
  <w:num w:numId="1494">
    <w:abstractNumId w:val="7"/>
  </w:num>
  <w:num w:numId="1495">
    <w:abstractNumId w:val="7"/>
  </w:num>
  <w:num w:numId="1496">
    <w:abstractNumId w:val="7"/>
  </w:num>
  <w:num w:numId="1497">
    <w:abstractNumId w:val="7"/>
  </w:num>
  <w:num w:numId="1498">
    <w:abstractNumId w:val="7"/>
  </w:num>
  <w:num w:numId="1499">
    <w:abstractNumId w:val="7"/>
  </w:num>
  <w:num w:numId="1500">
    <w:abstractNumId w:val="35"/>
    <w:lvlOverride w:ilvl="0">
      <w:startOverride w:val="1"/>
    </w:lvlOverride>
  </w:num>
  <w:num w:numId="1501">
    <w:abstractNumId w:val="35"/>
  </w:num>
  <w:num w:numId="1502">
    <w:abstractNumId w:val="35"/>
  </w:num>
  <w:num w:numId="1503">
    <w:abstractNumId w:val="35"/>
  </w:num>
  <w:num w:numId="1504">
    <w:abstractNumId w:val="35"/>
  </w:num>
  <w:num w:numId="1505">
    <w:abstractNumId w:val="35"/>
  </w:num>
  <w:num w:numId="1506">
    <w:abstractNumId w:val="35"/>
  </w:num>
  <w:num w:numId="1507">
    <w:abstractNumId w:val="35"/>
  </w:num>
  <w:num w:numId="1508">
    <w:abstractNumId w:val="35"/>
  </w:num>
  <w:num w:numId="1509">
    <w:abstractNumId w:val="35"/>
  </w:num>
  <w:num w:numId="1510">
    <w:abstractNumId w:val="7"/>
  </w:num>
  <w:num w:numId="1511">
    <w:abstractNumId w:val="7"/>
  </w:num>
  <w:num w:numId="1512">
    <w:abstractNumId w:val="7"/>
  </w:num>
  <w:num w:numId="1513">
    <w:abstractNumId w:val="7"/>
  </w:num>
  <w:num w:numId="1514">
    <w:abstractNumId w:val="7"/>
  </w:num>
  <w:num w:numId="1515">
    <w:abstractNumId w:val="7"/>
  </w:num>
  <w:num w:numId="1516">
    <w:abstractNumId w:val="7"/>
  </w:num>
  <w:num w:numId="1517">
    <w:abstractNumId w:val="7"/>
  </w:num>
  <w:num w:numId="1518">
    <w:abstractNumId w:val="7"/>
  </w:num>
  <w:num w:numId="1519">
    <w:abstractNumId w:val="35"/>
    <w:lvlOverride w:ilvl="0">
      <w:startOverride w:val="1"/>
    </w:lvlOverride>
  </w:num>
  <w:num w:numId="1520">
    <w:abstractNumId w:val="35"/>
  </w:num>
  <w:num w:numId="1521">
    <w:abstractNumId w:val="35"/>
  </w:num>
  <w:num w:numId="1522">
    <w:abstractNumId w:val="35"/>
  </w:num>
  <w:num w:numId="1523">
    <w:abstractNumId w:val="35"/>
  </w:num>
  <w:num w:numId="1524">
    <w:abstractNumId w:val="35"/>
  </w:num>
  <w:num w:numId="1525">
    <w:abstractNumId w:val="35"/>
  </w:num>
  <w:num w:numId="1526">
    <w:abstractNumId w:val="35"/>
  </w:num>
  <w:num w:numId="1527">
    <w:abstractNumId w:val="35"/>
  </w:num>
  <w:num w:numId="1528">
    <w:abstractNumId w:val="35"/>
  </w:num>
  <w:num w:numId="1529">
    <w:abstractNumId w:val="35"/>
  </w:num>
  <w:num w:numId="1530">
    <w:abstractNumId w:val="35"/>
  </w:num>
  <w:num w:numId="1531">
    <w:abstractNumId w:val="35"/>
  </w:num>
  <w:num w:numId="1532">
    <w:abstractNumId w:val="35"/>
  </w:num>
  <w:num w:numId="1533">
    <w:abstractNumId w:val="35"/>
  </w:num>
  <w:num w:numId="1534">
    <w:abstractNumId w:val="35"/>
    <w:lvlOverride w:ilvl="0">
      <w:startOverride w:val="1"/>
    </w:lvlOverride>
  </w:num>
  <w:num w:numId="1535">
    <w:abstractNumId w:val="35"/>
  </w:num>
  <w:num w:numId="1536">
    <w:abstractNumId w:val="35"/>
  </w:num>
  <w:num w:numId="1537">
    <w:abstractNumId w:val="35"/>
  </w:num>
  <w:num w:numId="1538">
    <w:abstractNumId w:val="35"/>
  </w:num>
  <w:num w:numId="1539">
    <w:abstractNumId w:val="35"/>
  </w:num>
  <w:num w:numId="1540">
    <w:abstractNumId w:val="35"/>
  </w:num>
  <w:num w:numId="1541">
    <w:abstractNumId w:val="35"/>
  </w:num>
  <w:num w:numId="1542">
    <w:abstractNumId w:val="35"/>
  </w:num>
  <w:num w:numId="1543">
    <w:abstractNumId w:val="35"/>
    <w:lvlOverride w:ilvl="0">
      <w:startOverride w:val="1"/>
    </w:lvlOverride>
  </w:num>
  <w:num w:numId="1544">
    <w:abstractNumId w:val="35"/>
  </w:num>
  <w:num w:numId="1545">
    <w:abstractNumId w:val="35"/>
  </w:num>
  <w:num w:numId="1546">
    <w:abstractNumId w:val="35"/>
  </w:num>
  <w:num w:numId="1547">
    <w:abstractNumId w:val="35"/>
  </w:num>
  <w:num w:numId="1548">
    <w:abstractNumId w:val="35"/>
  </w:num>
  <w:num w:numId="1549">
    <w:abstractNumId w:val="35"/>
  </w:num>
  <w:num w:numId="1550">
    <w:abstractNumId w:val="35"/>
  </w:num>
  <w:num w:numId="1551">
    <w:abstractNumId w:val="35"/>
  </w:num>
  <w:num w:numId="1552">
    <w:abstractNumId w:val="35"/>
  </w:num>
  <w:num w:numId="1553">
    <w:abstractNumId w:val="35"/>
  </w:num>
  <w:num w:numId="1554">
    <w:abstractNumId w:val="35"/>
  </w:num>
  <w:num w:numId="1555">
    <w:abstractNumId w:val="35"/>
  </w:num>
  <w:num w:numId="1556">
    <w:abstractNumId w:val="35"/>
  </w:num>
  <w:num w:numId="1557">
    <w:abstractNumId w:val="35"/>
  </w:num>
  <w:num w:numId="1558">
    <w:abstractNumId w:val="35"/>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120"/>
      <w:jc w:val="start"/>
    </w:pPr>
    <w:rPr>
      <w:rFonts w:ascii="Noto Serif" w:hAnsi="Noto Serif" w:eastAsia="Noto Serif" w:cs=""/>
      <w:color w:val="232B31"/>
      <w:kern w:val="0"/>
      <w:sz w:val="21"/>
      <w:szCs w:val="22"/>
      <w:lang w:val="en-GB" w:eastAsia="en-US" w:bidi="ar-SA"/>
    </w:rPr>
  </w:style>
  <w:style w:type="paragraph" w:styleId="Heading1">
    <w:name w:val="heading 1"/>
    <w:basedOn w:val="Normal"/>
    <w:next w:val="Normal"/>
    <w:link w:val="Heading1Char"/>
    <w:uiPriority w:val="9"/>
    <w:qFormat/>
    <w:rsid w:val="00fc693f"/>
    <w:pPr>
      <w:keepNext w:val="true"/>
      <w:keepLines/>
      <w:pageBreakBefore/>
      <w:spacing w:before="360" w:after="200"/>
      <w:outlineLvl w:val="1"/>
    </w:pPr>
    <w:rPr>
      <w:rFonts w:ascii="Calibri" w:hAnsi="Calibri" w:eastAsia="" w:cs="" w:asciiTheme="majorHAnsi" w:cstheme="majorBidi" w:eastAsiaTheme="majorEastAsia" w:hAnsiTheme="majorHAnsi"/>
      <w:b/>
      <w:bCs/>
      <w:color w:val="173B57"/>
      <w:sz w:val="44"/>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2"/>
    </w:pPr>
    <w:rPr>
      <w:rFonts w:ascii="Calibri" w:hAnsi="Calibri" w:eastAsia="" w:cs="" w:asciiTheme="majorHAnsi" w:cstheme="majorBidi" w:eastAsiaTheme="majorEastAsia" w:hAnsiTheme="majorHAnsi"/>
      <w:b/>
      <w:bCs/>
      <w:color w:val="1D6174"/>
      <w:sz w:val="30"/>
      <w:szCs w:val="26"/>
    </w:rPr>
  </w:style>
  <w:style w:type="paragraph" w:styleId="Heading3">
    <w:name w:val="heading 3"/>
    <w:basedOn w:val="Normal"/>
    <w:next w:val="Normal"/>
    <w:link w:val="Heading3Char"/>
    <w:uiPriority w:val="9"/>
    <w:unhideWhenUsed/>
    <w:qFormat/>
    <w:rsid w:val="00fc693f"/>
    <w:pPr>
      <w:keepNext w:val="true"/>
      <w:keepLines/>
      <w:spacing w:before="200" w:after="80"/>
      <w:outlineLvl w:val="2"/>
    </w:pPr>
    <w:rPr>
      <w:rFonts w:ascii="Calibri" w:hAnsi="Calibri" w:eastAsia="" w:cs="" w:asciiTheme="majorHAnsi" w:cstheme="majorBidi" w:eastAsiaTheme="majorEastAsia" w:hAnsiTheme="majorHAnsi"/>
      <w:b/>
      <w:bCs/>
      <w:color w:val="173B57"/>
      <w:sz w:val="23"/>
    </w:rPr>
  </w:style>
  <w:style w:type="paragraph" w:styleId="Heading4">
    <w:name w:val="heading 4"/>
    <w:basedOn w:val="Normal"/>
    <w:next w:val="Normal"/>
    <w:link w:val="Heading4Char"/>
    <w:uiPriority w:val="9"/>
    <w:semiHidden/>
    <w:unhideWhenUsed/>
    <w:qFormat/>
    <w:rsid w:val="00fc693f"/>
    <w:pPr>
      <w:keepNext w:val="true"/>
      <w:keepLines/>
      <w:spacing w:before="160" w:after="60"/>
      <w:outlineLvl w:val="3"/>
    </w:pPr>
    <w:rPr>
      <w:rFonts w:ascii="Calibri" w:hAnsi="Calibri" w:eastAsia="" w:cs="" w:asciiTheme="majorHAnsi" w:cstheme="majorBidi" w:eastAsiaTheme="majorEastAsia" w:hAnsiTheme="majorHAnsi"/>
      <w:b/>
      <w:bCs/>
      <w:i/>
      <w:iCs/>
      <w:color w:val="46697F"/>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KeywordTok" w:customStyle="1">
    <w:name w:val="KeywordTok"/>
    <w:qFormat/>
    <w:rPr>
      <w:b/>
      <w:color w:val="007020"/>
    </w:rPr>
  </w:style>
  <w:style w:type="character" w:styleId="DataTypeTok" w:customStyle="1">
    <w:name w:val="DataTypeTok"/>
    <w:qFormat/>
    <w:rPr>
      <w:color w:val="902000"/>
    </w:rPr>
  </w:style>
  <w:style w:type="character" w:styleId="DecValTok" w:customStyle="1">
    <w:name w:val="DecValTok"/>
    <w:qFormat/>
    <w:rPr>
      <w:color w:val="40A070"/>
    </w:rPr>
  </w:style>
  <w:style w:type="character" w:styleId="BaseNTok" w:customStyle="1">
    <w:name w:val="BaseNTok"/>
    <w:qFormat/>
    <w:rPr>
      <w:color w:val="40A070"/>
    </w:rPr>
  </w:style>
  <w:style w:type="character" w:styleId="FloatTok" w:customStyle="1">
    <w:name w:val="FloatTok"/>
    <w:qFormat/>
    <w:rPr>
      <w:color w:val="40A070"/>
    </w:rPr>
  </w:style>
  <w:style w:type="character" w:styleId="ConstantTok" w:customStyle="1">
    <w:name w:val="ConstantTok"/>
    <w:qFormat/>
    <w:rPr>
      <w:color w:val="880000"/>
    </w:rPr>
  </w:style>
  <w:style w:type="character" w:styleId="CharTok" w:customStyle="1">
    <w:name w:val="CharTok"/>
    <w:qFormat/>
    <w:rPr>
      <w:color w:val="4070A0"/>
    </w:rPr>
  </w:style>
  <w:style w:type="character" w:styleId="SpecialCharTok" w:customStyle="1">
    <w:name w:val="SpecialCharTok"/>
    <w:qFormat/>
    <w:rPr>
      <w:color w:val="4070A0"/>
    </w:rPr>
  </w:style>
  <w:style w:type="character" w:styleId="StringTok" w:customStyle="1">
    <w:name w:val="StringTok"/>
    <w:qFormat/>
    <w:rPr>
      <w:color w:val="4070A0"/>
    </w:rPr>
  </w:style>
  <w:style w:type="character" w:styleId="VerbatimStringTok" w:customStyle="1">
    <w:name w:val="VerbatimStringTok"/>
    <w:qFormat/>
    <w:rPr>
      <w:color w:val="4070A0"/>
    </w:rPr>
  </w:style>
  <w:style w:type="character" w:styleId="SpecialStringTok" w:customStyle="1">
    <w:name w:val="SpecialStringTok"/>
    <w:qFormat/>
    <w:rPr>
      <w:color w:val="BB6688"/>
    </w:rPr>
  </w:style>
  <w:style w:type="character" w:styleId="ImportTok" w:customStyle="1">
    <w:name w:val="ImportTok"/>
    <w:qFormat/>
    <w:rPr>
      <w:b/>
      <w:color w:val="008000"/>
    </w:rPr>
  </w:style>
  <w:style w:type="character" w:styleId="CommentTok" w:customStyle="1">
    <w:name w:val="CommentTok"/>
    <w:qFormat/>
    <w:rPr>
      <w:i/>
      <w:color w:val="60A0B0"/>
    </w:rPr>
  </w:style>
  <w:style w:type="character" w:styleId="DocumentationTok" w:customStyle="1">
    <w:name w:val="DocumentationTok"/>
    <w:qFormat/>
    <w:rPr>
      <w:i/>
      <w:color w:val="BA2121"/>
    </w:rPr>
  </w:style>
  <w:style w:type="character" w:styleId="AnnotationTok" w:customStyle="1">
    <w:name w:val="AnnotationTok"/>
    <w:qFormat/>
    <w:rPr>
      <w:b/>
      <w:i/>
      <w:color w:val="60A0B0"/>
    </w:rPr>
  </w:style>
  <w:style w:type="character" w:styleId="CommentVarTok" w:customStyle="1">
    <w:name w:val="CommentVarTok"/>
    <w:qFormat/>
    <w:rPr>
      <w:b/>
      <w:i/>
      <w:color w:val="60A0B0"/>
    </w:rPr>
  </w:style>
  <w:style w:type="character" w:styleId="OtherTok" w:customStyle="1">
    <w:name w:val="OtherTok"/>
    <w:qFormat/>
    <w:rPr>
      <w:color w:val="007020"/>
    </w:rPr>
  </w:style>
  <w:style w:type="character" w:styleId="FunctionTok" w:customStyle="1">
    <w:name w:val="FunctionTok"/>
    <w:qFormat/>
    <w:rPr>
      <w:color w:val="06287E"/>
    </w:rPr>
  </w:style>
  <w:style w:type="character" w:styleId="VariableTok" w:customStyle="1">
    <w:name w:val="VariableTok"/>
    <w:qFormat/>
    <w:rPr>
      <w:color w:val="19177C"/>
    </w:rPr>
  </w:style>
  <w:style w:type="character" w:styleId="ControlFlowTok" w:customStyle="1">
    <w:name w:val="ControlFlowTok"/>
    <w:qFormat/>
    <w:rPr>
      <w:b/>
      <w:color w:val="007020"/>
    </w:rPr>
  </w:style>
  <w:style w:type="character" w:styleId="OperatorTok" w:customStyle="1">
    <w:name w:val="OperatorTok"/>
    <w:qFormat/>
    <w:rPr>
      <w:color w:val="666666"/>
    </w:rPr>
  </w:style>
  <w:style w:type="character" w:styleId="BuiltInTok" w:customStyle="1">
    <w:name w:val="BuiltInTok"/>
    <w:qFormat/>
    <w:rPr>
      <w:color w:val="008000"/>
    </w:rPr>
  </w:style>
  <w:style w:type="character" w:styleId="ExtensionTok" w:customStyle="1">
    <w:name w:val="ExtensionTok"/>
    <w:qFormat/>
    <w:rPr/>
  </w:style>
  <w:style w:type="character" w:styleId="PreprocessorTok" w:customStyle="1">
    <w:name w:val="PreprocessorTok"/>
    <w:qFormat/>
    <w:rPr>
      <w:color w:val="BC7A00"/>
    </w:rPr>
  </w:style>
  <w:style w:type="character" w:styleId="AttributeTok" w:customStyle="1">
    <w:name w:val="AttributeTok"/>
    <w:qFormat/>
    <w:rPr>
      <w:color w:val="7D9029"/>
    </w:rPr>
  </w:style>
  <w:style w:type="character" w:styleId="RegionMarkerTok" w:customStyle="1">
    <w:name w:val="RegionMarkerTok"/>
    <w:qFormat/>
    <w:rPr/>
  </w:style>
  <w:style w:type="character" w:styleId="InformationTok" w:customStyle="1">
    <w:name w:val="InformationTok"/>
    <w:qFormat/>
    <w:rPr>
      <w:b/>
      <w:i/>
      <w:color w:val="60A0B0"/>
    </w:rPr>
  </w:style>
  <w:style w:type="character" w:styleId="WarningTok" w:customStyle="1">
    <w:name w:val="WarningTok"/>
    <w:qFormat/>
    <w:rPr>
      <w:b/>
      <w:i/>
      <w:color w:val="60A0B0"/>
    </w:rPr>
  </w:style>
  <w:style w:type="character" w:styleId="AlertTok" w:customStyle="1">
    <w:name w:val="AlertTok"/>
    <w:qFormat/>
    <w:rPr>
      <w:b/>
      <w:color w:val="FF0000"/>
    </w:rPr>
  </w:style>
  <w:style w:type="character" w:styleId="ErrorTok" w:customStyle="1">
    <w:name w:val="ErrorTok"/>
    <w:qFormat/>
    <w:rPr>
      <w:b/>
      <w:color w:val="FF0000"/>
    </w:rPr>
  </w:style>
  <w:style w:type="character" w:styleId="NormalTok" w:customStyle="1">
    <w:name w:val="NormalTok"/>
    <w:qFormat/>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jc w:val="center"/>
    </w:pPr>
    <w:rPr>
      <w:rFonts w:ascii="Inter" w:hAnsi="Inter" w:eastAsia="Inter"/>
      <w:b/>
      <w:bCs/>
      <w:i/>
      <w:color w:val="465762"/>
      <w:sz w:val="17"/>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GB"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280"/>
      <w:contextualSpacing/>
      <w:jc w:val="center"/>
    </w:pPr>
    <w:rPr>
      <w:rFonts w:ascii="Calibri" w:hAnsi="Calibri" w:eastAsia="" w:cs="" w:asciiTheme="majorHAnsi" w:cstheme="majorBidi" w:eastAsiaTheme="majorEastAsia" w:hAnsiTheme="majorHAnsi"/>
      <w:b/>
      <w:color w:val="173B57"/>
      <w:spacing w:val="5"/>
      <w:kern w:val="2"/>
      <w:sz w:val="68"/>
      <w:szCs w:val="52"/>
    </w:rPr>
  </w:style>
  <w:style w:type="paragraph" w:styleId="Subtitle">
    <w:name w:val="Subtitle"/>
    <w:basedOn w:val="Normal"/>
    <w:next w:val="Normal"/>
    <w:link w:val="SubtitleChar"/>
    <w:uiPriority w:val="11"/>
    <w:qFormat/>
    <w:rsid w:val="00fc693f"/>
    <w:pPr>
      <w:keepNext w:val="true"/>
      <w:spacing w:before="0" w:after="360"/>
      <w:jc w:val="center"/>
    </w:pPr>
    <w:rPr>
      <w:rFonts w:ascii="Calibri" w:hAnsi="Calibri" w:eastAsia="" w:cs="" w:asciiTheme="majorHAnsi" w:cstheme="majorBidi" w:eastAsiaTheme="majorEastAsia" w:hAnsiTheme="majorHAnsi"/>
      <w:b/>
      <w:i/>
      <w:iCs/>
      <w:color w:val="46697F"/>
      <w:spacing w:val="15"/>
      <w:sz w:val="30"/>
      <w:szCs w:val="24"/>
    </w:rPr>
  </w:style>
  <w:style w:type="paragraph" w:styleId="ListParagraph">
    <w:name w:val="List Paragraph"/>
    <w:basedOn w:val="Normal"/>
    <w:uiPriority w:val="34"/>
    <w:qFormat/>
    <w:rsid w:val="00fc693f"/>
    <w:pPr>
      <w:spacing w:before="0" w:after="12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start="720"/>
      <w:contextualSpacing/>
    </w:pPr>
    <w:rPr/>
  </w:style>
  <w:style w:type="paragraph" w:styleId="List3">
    <w:name w:val="List 3"/>
    <w:basedOn w:val="Normal"/>
    <w:uiPriority w:val="99"/>
    <w:unhideWhenUsed/>
    <w:qFormat/>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before="0" w:after="40"/>
      <w:contextualSpacing/>
    </w:pPr>
    <w:rPr>
      <w:rFonts w:ascii="Noto Serif" w:hAnsi="Noto Serif"/>
      <w:sz w:val="20"/>
    </w:rPr>
  </w:style>
  <w:style w:type="paragraph" w:styleId="ListBullet2">
    <w:name w:val="List Bullet 2"/>
    <w:basedOn w:val="Normal"/>
    <w:uiPriority w:val="99"/>
    <w:unhideWhenUsed/>
    <w:rsid w:val="00326f90"/>
    <w:pPr>
      <w:numPr>
        <w:ilvl w:val="0"/>
        <w:numId w:val="2"/>
      </w:numPr>
      <w:spacing w:before="0" w:after="40"/>
      <w:contextualSpacing/>
    </w:pPr>
    <w:rPr>
      <w:rFonts w:ascii="Noto Serif" w:hAnsi="Noto Serif"/>
      <w:sz w:val="20"/>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40"/>
      <w:contextualSpacing/>
    </w:pPr>
    <w:rPr>
      <w:rFonts w:ascii="Noto Serif" w:hAnsi="Noto Serif"/>
      <w:sz w:val="20"/>
    </w:rPr>
  </w:style>
  <w:style w:type="paragraph" w:styleId="ListNumber2">
    <w:name w:val="List Number 2"/>
    <w:basedOn w:val="Normal"/>
    <w:uiPriority w:val="99"/>
    <w:unhideWhenUsed/>
    <w:rsid w:val="0029639d"/>
    <w:pPr>
      <w:numPr>
        <w:ilvl w:val="0"/>
        <w:numId w:val="5"/>
      </w:numPr>
      <w:spacing w:before="0" w:after="40"/>
      <w:contextualSpacing/>
    </w:pPr>
    <w:rPr>
      <w:rFonts w:ascii="Noto Serif" w:hAnsi="Noto Serif"/>
      <w:sz w:val="20"/>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GB" w:eastAsia="en-US" w:bidi="ar-SA"/>
    </w:rPr>
  </w:style>
  <w:style w:type="paragraph" w:styleId="Quote">
    <w:name w:val="Quote"/>
    <w:basedOn w:val="Normal"/>
    <w:next w:val="Normal"/>
    <w:link w:val="QuoteChar"/>
    <w:uiPriority w:val="29"/>
    <w:qFormat/>
    <w:rsid w:val="00fc693f"/>
    <w:pPr>
      <w:ind w:start="454" w:end="454"/>
    </w:pPr>
    <w:rPr>
      <w:rFonts w:ascii="Inter" w:hAnsi="Inter" w:eastAsia="Inter"/>
      <w:i/>
      <w:iCs/>
      <w:color w:val="465762"/>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rFonts w:ascii="Inter" w:hAnsi="Inter" w:eastAsia="Inter"/>
      <w:b/>
      <w:bCs/>
      <w:i/>
      <w:iCs/>
      <w:color w:val="465762"/>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rFonts w:ascii="Inter Display" w:hAnsi="Inter Display"/>
      <w:b/>
      <w:sz w:val="44"/>
    </w:rPr>
  </w:style>
  <w:style w:type="paragraph" w:styleId="Author" w:customStyle="1">
    <w:name w:val="Author"/>
    <w:qFormat/>
    <w:pPr>
      <w:keepNext w:val="true"/>
      <w:widowControl/>
      <w:suppressAutoHyphens w:val="true"/>
      <w:bidi w:val="0"/>
      <w:spacing w:lineRule="auto" w:line="276" w:before="0" w:after="120"/>
      <w:jc w:val="center"/>
    </w:pPr>
    <w:rPr>
      <w:rFonts w:ascii="Inter" w:hAnsi="Inter" w:eastAsia="Inter" w:cs=""/>
      <w:b/>
      <w:color w:val="5A6870"/>
      <w:kern w:val="0"/>
      <w:sz w:val="22"/>
      <w:szCs w:val="22"/>
      <w:lang w:val="en-GB" w:eastAsia="en-US" w:bidi="ar-SA"/>
    </w:rPr>
  </w:style>
  <w:style w:type="paragraph" w:styleId="Compact" w:customStyle="1">
    <w:name w:val="Compact"/>
    <w:basedOn w:val="Normal"/>
    <w:qFormat/>
    <w:pPr>
      <w:spacing w:lineRule="auto" w:line="240" w:before="0" w:after="0"/>
    </w:pPr>
    <w:rPr>
      <w:rFonts w:ascii="Inter" w:hAnsi="Inter" w:eastAsia="Inter"/>
      <w:color w:val="232B31"/>
      <w:sz w:val="17"/>
    </w:rPr>
  </w:style>
  <w:style w:type="paragraph" w:styleId="KeyPoint" w:customStyle="1">
    <w:name w:val="Key Point"/>
    <w:basedOn w:val="Normal"/>
    <w:qFormat/>
    <w:pPr>
      <w:pBdr>
        <w:left w:val="single" w:sz="18" w:space="6" w:color="1D6174"/>
      </w:pBdr>
      <w:shd w:fill="EAF3F7"/>
      <w:spacing w:before="100" w:after="120"/>
      <w:ind w:start="227" w:end="113"/>
    </w:pPr>
    <w:rPr>
      <w:rFonts w:ascii="Inter" w:hAnsi="Inter"/>
      <w:sz w:val="19"/>
    </w:rPr>
  </w:style>
  <w:style w:type="paragraph" w:styleId="Warning" w:customStyle="1">
    <w:name w:val="Warning"/>
    <w:basedOn w:val="Normal"/>
    <w:qFormat/>
    <w:pPr>
      <w:pBdr>
        <w:left w:val="single" w:sz="18" w:space="6" w:color="B97A20"/>
      </w:pBdr>
      <w:shd w:fill="FDF4E3"/>
      <w:spacing w:before="100" w:after="120"/>
      <w:ind w:start="227" w:end="113"/>
    </w:pPr>
    <w:rPr>
      <w:rFonts w:ascii="Inter" w:hAnsi="Inter"/>
      <w:sz w:val="19"/>
    </w:rPr>
  </w:style>
  <w:style w:type="paragraph" w:styleId="Definition" w:customStyle="1">
    <w:name w:val="Definition"/>
    <w:basedOn w:val="Normal"/>
    <w:qFormat/>
    <w:pPr>
      <w:pBdr>
        <w:left w:val="single" w:sz="18" w:space="6" w:color="604B8C"/>
      </w:pBdr>
      <w:shd w:fill="F3F0FA"/>
      <w:spacing w:before="100" w:after="120"/>
      <w:ind w:start="227" w:end="113"/>
    </w:pPr>
    <w:rPr>
      <w:rFonts w:ascii="Inter" w:hAnsi="Inter"/>
      <w:sz w:val="19"/>
    </w:rPr>
  </w:style>
  <w:style w:type="paragraph" w:styleId="SourceCode" w:customStyle="1">
    <w:name w:val="Source Code"/>
    <w:basedOn w:val="Normal"/>
    <w:qFormat/>
    <w:pPr/>
    <w:rPr/>
  </w:style>
  <w:style w:type="paragraph" w:styleId="PartTitle" w:customStyle="1">
    <w:name w:val="Part Title"/>
    <w:basedOn w:val="Heading1"/>
    <w:qFormat/>
    <w:pPr>
      <w:spacing w:before="3000" w:after="360"/>
      <w:jc w:val="center"/>
      <w:outlineLvl w:val="0"/>
    </w:pPr>
    <w:rPr>
      <w:rFonts w:ascii="Inter Display" w:hAnsi="Inter Display"/>
      <w:b/>
      <w:color w:val="173B57"/>
      <w:sz w:val="54"/>
    </w:rPr>
  </w:style>
  <w:style w:type="paragraph" w:styleId="TOC1">
    <w:name w:val="toc 1"/>
    <w:basedOn w:val="Index"/>
    <w:pPr>
      <w:tabs>
        <w:tab w:val="clear" w:pos="720"/>
        <w:tab w:val="right" w:pos="9638" w:leader="dot"/>
      </w:tabs>
      <w:spacing w:before="100" w:after="30"/>
      <w:ind w:hanging="0" w:start="0"/>
    </w:pPr>
    <w:rPr>
      <w:rFonts w:ascii="Inter" w:hAnsi="Inter"/>
      <w:b/>
      <w:sz w:val="21"/>
    </w:rPr>
  </w:style>
  <w:style w:type="paragraph" w:styleId="TOC2">
    <w:name w:val="toc 2"/>
    <w:basedOn w:val="Index"/>
    <w:pPr>
      <w:tabs>
        <w:tab w:val="clear" w:pos="720"/>
        <w:tab w:val="right" w:pos="9355" w:leader="dot"/>
      </w:tabs>
      <w:spacing w:before="24" w:after="16"/>
      <w:ind w:hanging="0" w:start="317"/>
    </w:pPr>
    <w:rPr>
      <w:rFonts w:ascii="Inter" w:hAnsi="Inter"/>
      <w:b w:val="false"/>
      <w:sz w:val="19"/>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
    <w:name w:val="Table"/>
    <w:rPr>
      <w:sz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png"/><Relationship Id="rId17" Type="http://schemas.openxmlformats.org/officeDocument/2006/relationships/image" Target="media/image15.png"/><Relationship Id="rId18" Type="http://schemas.openxmlformats.org/officeDocument/2006/relationships/image" Target="media/image2.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image" Target="media/image19.png"/><Relationship Id="rId23" Type="http://schemas.openxmlformats.org/officeDocument/2006/relationships/image" Target="media/image20.png"/><Relationship Id="rId24" Type="http://schemas.openxmlformats.org/officeDocument/2006/relationships/image" Target="media/image21.png"/><Relationship Id="rId25" Type="http://schemas.openxmlformats.org/officeDocument/2006/relationships/image" Target="media/image22.png"/><Relationship Id="rId26" Type="http://schemas.openxmlformats.org/officeDocument/2006/relationships/image" Target="media/image23.png"/><Relationship Id="rId27" Type="http://schemas.openxmlformats.org/officeDocument/2006/relationships/image" Target="media/image24.png"/><Relationship Id="rId28" Type="http://schemas.openxmlformats.org/officeDocument/2006/relationships/image" Target="media/image25.png"/><Relationship Id="rId29" Type="http://schemas.openxmlformats.org/officeDocument/2006/relationships/image" Target="media/image26.png"/><Relationship Id="rId30" Type="http://schemas.openxmlformats.org/officeDocument/2006/relationships/image" Target="media/image27.png"/><Relationship Id="rId31" Type="http://schemas.openxmlformats.org/officeDocument/2006/relationships/image" Target="media/image28.png"/><Relationship Id="rId32" Type="http://schemas.openxmlformats.org/officeDocument/2006/relationships/image" Target="media/image29.png"/><Relationship Id="rId33" Type="http://schemas.openxmlformats.org/officeDocument/2006/relationships/image" Target="media/image30.png"/><Relationship Id="rId34" Type="http://schemas.openxmlformats.org/officeDocument/2006/relationships/image" Target="media/image31.png"/><Relationship Id="rId35" Type="http://schemas.openxmlformats.org/officeDocument/2006/relationships/image" Target="media/image32.png"/><Relationship Id="rId36" Type="http://schemas.openxmlformats.org/officeDocument/2006/relationships/image" Target="media/image33.png"/><Relationship Id="rId37" Type="http://schemas.openxmlformats.org/officeDocument/2006/relationships/image" Target="media/image34.png"/><Relationship Id="rId38" Type="http://schemas.openxmlformats.org/officeDocument/2006/relationships/image" Target="media/image35.png"/><Relationship Id="rId39" Type="http://schemas.openxmlformats.org/officeDocument/2006/relationships/image" Target="media/image36.png"/><Relationship Id="rId40" Type="http://schemas.openxmlformats.org/officeDocument/2006/relationships/image" Target="media/image37.png"/><Relationship Id="rId41" Type="http://schemas.openxmlformats.org/officeDocument/2006/relationships/image" Target="media/image38.png"/><Relationship Id="rId42" Type="http://schemas.openxmlformats.org/officeDocument/2006/relationships/image" Target="media/image39.png"/><Relationship Id="rId43" Type="http://schemas.openxmlformats.org/officeDocument/2006/relationships/image" Target="media/image40.png"/><Relationship Id="rId44" Type="http://schemas.openxmlformats.org/officeDocument/2006/relationships/image" Target="media/image41.png"/><Relationship Id="rId45" Type="http://schemas.openxmlformats.org/officeDocument/2006/relationships/image" Target="media/image42.png"/><Relationship Id="rId46" Type="http://schemas.openxmlformats.org/officeDocument/2006/relationships/image" Target="media/image43.png"/><Relationship Id="rId47" Type="http://schemas.openxmlformats.org/officeDocument/2006/relationships/image" Target="media/image44.png"/><Relationship Id="rId48" Type="http://schemas.openxmlformats.org/officeDocument/2006/relationships/image" Target="media/image45.png"/><Relationship Id="rId49" Type="http://schemas.openxmlformats.org/officeDocument/2006/relationships/image" Target="media/image5.png"/><Relationship Id="rId50" Type="http://schemas.openxmlformats.org/officeDocument/2006/relationships/image" Target="media/image6.png"/><Relationship Id="rId51" Type="http://schemas.openxmlformats.org/officeDocument/2006/relationships/image" Target="media/image8.png"/><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image" Target="media/image46.png"/><Relationship Id="rId55" Type="http://schemas.openxmlformats.org/officeDocument/2006/relationships/image" Target="media/image1.png"/><Relationship Id="rId56" Type="http://schemas.openxmlformats.org/officeDocument/2006/relationships/image" Target="media/image11.png"/><Relationship Id="rId57" Type="http://schemas.openxmlformats.org/officeDocument/2006/relationships/image" Target="media/image13.png"/><Relationship Id="rId58" Type="http://schemas.openxmlformats.org/officeDocument/2006/relationships/image" Target="media/image47.png"/><Relationship Id="rId59" Type="http://schemas.openxmlformats.org/officeDocument/2006/relationships/image" Target="media/image40.png"/><Relationship Id="rId60" Type="http://schemas.openxmlformats.org/officeDocument/2006/relationships/image" Target="media/image42.png"/><Relationship Id="rId61" Type="http://schemas.openxmlformats.org/officeDocument/2006/relationships/image" Target="media/image36.png"/><Relationship Id="rId62" Type="http://schemas.openxmlformats.org/officeDocument/2006/relationships/image" Target="media/image37.png"/><Relationship Id="rId63" Type="http://schemas.openxmlformats.org/officeDocument/2006/relationships/image" Target="media/image38.png"/><Relationship Id="rId64" Type="http://schemas.openxmlformats.org/officeDocument/2006/relationships/image" Target="media/image39.png"/><Relationship Id="rId65" Type="http://schemas.openxmlformats.org/officeDocument/2006/relationships/image" Target="media/image48.png"/><Relationship Id="rId66" Type="http://schemas.openxmlformats.org/officeDocument/2006/relationships/image" Target="media/image49.png"/><Relationship Id="rId67" Type="http://schemas.openxmlformats.org/officeDocument/2006/relationships/image" Target="media/image50.png"/><Relationship Id="rId68" Type="http://schemas.openxmlformats.org/officeDocument/2006/relationships/image" Target="media/image51.png"/><Relationship Id="rId69" Type="http://schemas.openxmlformats.org/officeDocument/2006/relationships/image" Target="media/image52.png"/><Relationship Id="rId70" Type="http://schemas.openxmlformats.org/officeDocument/2006/relationships/image" Target="media/image53.png"/><Relationship Id="rId71" Type="http://schemas.openxmlformats.org/officeDocument/2006/relationships/image" Target="media/image54.png"/><Relationship Id="rId72" Type="http://schemas.openxmlformats.org/officeDocument/2006/relationships/image" Target="media/image55.png"/><Relationship Id="rId73" Type="http://schemas.openxmlformats.org/officeDocument/2006/relationships/image" Target="media/image56.png"/><Relationship Id="rId74" Type="http://schemas.openxmlformats.org/officeDocument/2006/relationships/image" Target="media/image57.png"/><Relationship Id="rId75" Type="http://schemas.openxmlformats.org/officeDocument/2006/relationships/image" Target="media/image58.png"/><Relationship Id="rId76" Type="http://schemas.openxmlformats.org/officeDocument/2006/relationships/image" Target="media/image59.png"/><Relationship Id="rId77" Type="http://schemas.openxmlformats.org/officeDocument/2006/relationships/image" Target="media/image60.png"/><Relationship Id="rId78" Type="http://schemas.openxmlformats.org/officeDocument/2006/relationships/image" Target="media/image61.png"/><Relationship Id="rId79" Type="http://schemas.openxmlformats.org/officeDocument/2006/relationships/image" Target="media/image62.png"/><Relationship Id="rId80" Type="http://schemas.openxmlformats.org/officeDocument/2006/relationships/image" Target="media/image63.png"/><Relationship Id="rId81" Type="http://schemas.openxmlformats.org/officeDocument/2006/relationships/header" Target="header1.xml"/><Relationship Id="rId82" Type="http://schemas.openxmlformats.org/officeDocument/2006/relationships/header" Target="header2.xml"/><Relationship Id="rId83" Type="http://schemas.openxmlformats.org/officeDocument/2006/relationships/header" Target="header3.xml"/><Relationship Id="rId84" Type="http://schemas.openxmlformats.org/officeDocument/2006/relationships/footer" Target="footer1.xml"/><Relationship Id="rId85" Type="http://schemas.openxmlformats.org/officeDocument/2006/relationships/footer" Target="footer2.xml"/><Relationship Id="rId86" Type="http://schemas.openxmlformats.org/officeDocument/2006/relationships/footer" Target="footer3.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Relationship Id="rId91" Type="http://schemas.openxmlformats.org/officeDocument/2006/relationships/image" Target="media/image64.png"/><Relationship Id="rId92" Type="http://schemas.openxmlformats.org/officeDocument/2006/relationships/image" Target="media/image65.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LibreOffice/25.2.3.2$Linux_X86_64 LibreOffice_project/520$Build-2</Application>
  <AppVersion>15.0000</AppVersion>
  <Pages>112</Pages>
  <Words>19843</Words>
  <Characters>126698</Characters>
  <CharactersWithSpaces>143551</CharactersWithSpaces>
  <Paragraphs>2460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Technical Whitepaper</cp:category>
  <dc:creator>Voxonomics Research Framework</dc:creator>
  <dc:description>Final Edition 3.1 - July 2026</dc:description>
  <cp:keywords>Voxonomics VTS ERU PoV OPI DLI PII RWAI ERI VRI VRS VCS V-FOREX blockchain economics</cp:keywords>
  <dc:language>en-US</dc:language>
  <cp:lastModifiedBy/>
  <dcterms:modified xsi:type="dcterms:W3CDTF">2026-07-12T17:52:25Z</dcterms:modified>
  <cp:revision>3</cp:revision>
  <dc:subject>A Universal, Chain-Agnostic Economic Measurement and Cross-Network Valuation Framework</dc:subject>
  <dc:title>Voxonomics - Final Whitepaper - Edition 3.1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July 2026</vt:lpwstr>
  </property>
  <property fmtid="{D5CDD505-2E9C-101B-9397-08002B2CF9AE}" pid="3" name="subtitle">
    <vt:lpwstr>Final Publication Edition — Version 3.1 A Universal, Chain-Agnostic Economic Measurement and Cross-Network Valuation Framework</vt:lpwstr>
  </property>
  <property fmtid="{D5CDD505-2E9C-101B-9397-08002B2CF9AE}" pid="4" name="toc-title">
    <vt:lpwstr>Contents</vt:lpwstr>
  </property>
</Properties>
</file>