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56.png" ContentType="image/png"/>
  <Override PartName="/word/media/image55.png" ContentType="image/png"/>
  <Override PartName="/word/media/image54.png" ContentType="image/png"/>
  <Override PartName="/word/media/image53.png" ContentType="image/png"/>
  <Override PartName="/word/media/image39.png" ContentType="image/png"/>
  <Override PartName="/word/media/image7.png" ContentType="image/png"/>
  <Override PartName="/word/media/image16.png" ContentType="image/png"/>
  <Override PartName="/word/media/image47.png" ContentType="image/png"/>
  <Override PartName="/word/media/image10.png" ContentType="image/png"/>
  <Override PartName="/word/media/image1.png" ContentType="image/png"/>
  <Override PartName="/word/media/image33.png" ContentType="image/png"/>
  <Override PartName="/word/media/image38.png" ContentType="image/png"/>
  <Override PartName="/word/media/image6.png" ContentType="image/png"/>
  <Override PartName="/word/media/image15.png" ContentType="image/png"/>
  <Override PartName="/word/media/image37.png" ContentType="image/png"/>
  <Override PartName="/word/media/image5.png" ContentType="image/png"/>
  <Override PartName="/word/media/image14.png" ContentType="image/png"/>
  <Override PartName="/word/media/image19.png" ContentType="image/png"/>
  <Override PartName="/word/media/image61.png" ContentType="image/png"/>
  <Override PartName="/word/media/image21.png" ContentType="image/png"/>
  <Override PartName="/word/media/image58.png" ContentType="image/png"/>
  <Override PartName="/word/media/image28.png" ContentType="image/png"/>
  <Override PartName="/word/media/image27.png" ContentType="image/png"/>
  <Override PartName="/word/media/image63.png" ContentType="image/png"/>
  <Override PartName="/word/media/image26.png" ContentType="image/png"/>
  <Override PartName="/word/media/image62.png" ContentType="image/png"/>
  <Override PartName="/word/media/image25.png" ContentType="image/png"/>
  <Override PartName="/word/media/image29.png" ContentType="image/png"/>
  <Override PartName="/word/media/image60.png" ContentType="image/png"/>
  <Override PartName="/word/media/image23.png" ContentType="image/png"/>
  <Override PartName="/word/media/image24.png" ContentType="image/png"/>
  <Override PartName="/word/media/image59.png" ContentType="image/png"/>
  <Override PartName="/word/media/image22.png" ContentType="image/png"/>
  <Override PartName="/word/media/image34.png" ContentType="image/png"/>
  <Override PartName="/word/media/image2.png" ContentType="image/png"/>
  <Override PartName="/word/media/image11.png" ContentType="image/png"/>
  <Override PartName="/word/media/image48.png" ContentType="image/png"/>
  <Override PartName="/word/media/image17.png" ContentType="image/png"/>
  <Override PartName="/word/media/image8.png" ContentType="image/png"/>
  <Override PartName="/word/media/image35.png" ContentType="image/png"/>
  <Override PartName="/word/media/image3.png" ContentType="image/png"/>
  <Override PartName="/word/media/image12.png" ContentType="image/png"/>
  <Override PartName="/word/media/image49.png" ContentType="image/png"/>
  <Override PartName="/word/media/image20.png" ContentType="image/png"/>
  <Override PartName="/word/media/image57.png" ContentType="image/png"/>
  <Override PartName="/word/media/image18.png" ContentType="image/png"/>
  <Override PartName="/word/media/image9.png" ContentType="image/png"/>
  <Override PartName="/word/media/image36.png" ContentType="image/png"/>
  <Override PartName="/word/media/image4.png" ContentType="image/png"/>
  <Override PartName="/word/media/image13.png" ContentType="image/png"/>
  <Override PartName="/word/media/image30.png" ContentType="image/png"/>
  <Override PartName="/word/media/image31.png" ContentType="image/png"/>
  <Override PartName="/word/media/image32.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44.png" ContentType="image/png"/>
  <Override PartName="/word/media/image45.png" ContentType="image/png"/>
  <Override PartName="/word/media/image46.png" ContentType="image/png"/>
  <Override PartName="/word/media/image50.png" ContentType="image/png"/>
  <Override PartName="/word/media/image51.png" ContentType="image/png"/>
  <Override PartName="/word/media/image52.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pBdr>
          <w:bottom w:val="single" w:sz="16" w:space="8" w:color="1D6174"/>
        </w:pBdr>
        <w:spacing w:before="2100" w:after="360"/>
        <w:contextualSpacing/>
        <w:jc w:val="center"/>
        <w:rPr/>
      </w:pPr>
      <w:r>
        <w:rPr>
          <w:rFonts w:ascii="Inter Display" w:hAnsi="Inter Display"/>
          <w:b/>
          <w:color w:val="173B57"/>
          <w:sz w:val="68"/>
        </w:rPr>
        <w:t>VOXONOMICS</w:t>
      </w:r>
    </w:p>
    <w:p>
      <w:pPr>
        <w:pStyle w:val="Subtitle"/>
        <w:spacing w:before="0" w:after="440"/>
        <w:jc w:val="center"/>
        <w:rPr/>
      </w:pPr>
      <w:r>
        <w:t>Final Publication Edition — Version 3.3</w:t>
      </w:r>
      <w:r>
        <w:br/>
        <w:t>Macroeconomic Thesis and Scope Clarification</w:t>
      </w:r>
    </w:p>
    <w:p>
      <w:pPr>
        <w:pStyle w:val="Author"/>
        <w:spacing w:before="160" w:after="160"/>
        <w:jc w:val="center"/>
        <w:rPr/>
      </w:pPr>
      <w:r>
        <w:rPr>
          <w:b/>
          <w:color w:val="232B31"/>
          <w:sz w:val="22"/>
        </w:rPr>
        <w:t>Voxonomics Research Framework</w:t>
      </w:r>
    </w:p>
    <w:p>
      <w:pPr>
        <w:pStyle w:val="Normal"/>
        <w:jc w:val="center"/>
        <w:rPr/>
      </w:pPr>
      <w:r>
        <w:t>16 October 2026</w:t>
      </w:r>
    </w:p>
    <w:p>
      <w:pPr>
        <w:pStyle w:val="Normal"/>
        <w:widowControl/>
        <w:spacing w:before="2600" w:after="120"/>
        <w:jc w:val="center"/>
        <w:rPr/>
      </w:pPr>
      <w:r>
        <w:rPr>
          <w:rFonts w:ascii="Inter" w:hAnsi="Inter"/>
          <w:b/>
          <w:color w:val="1D6174"/>
          <w:sz w:val="18"/>
        </w:rPr>
        <w:t>VALUE SHOULD REFLECT VERIFIABLE ECONOMIC REALITY</w:t>
      </w:r>
    </w:p>
    <w:sdt>
      <w:sdtPr>
        <w:docPartObj>
          <w:docPartGallery w:val="Table of Contents"/>
          <w:docPartUnique w:val="true"/>
        </w:docPartObj>
      </w:sdtPr>
      <w:sdtContent>
        <w:p>
          <w:pPr>
            <w:pStyle w:val="TOCHeading"/>
            <w:rPr>
              <w:rFonts w:ascii="Inter Display" w:hAnsi="Inter Display"/>
              <w:b/>
              <w:sz w:val="44"/>
            </w:rPr>
          </w:pPr>
          <w:r>
            <w:rPr>
              <w:b/>
              <w:sz w:val="44"/>
            </w:rPr>
            <w:t>Contents</w:t>
          </w:r>
        </w:p>
        <w:p>
          <w:pPr>
            <w:pStyle w:val="TOC1"/>
            <w:tabs>
              <w:tab w:val="clear" w:pos="9638"/>
              <w:tab w:val="right" w:pos="9637" w:leader="dot"/>
            </w:tabs>
            <w:rPr/>
          </w:pPr>
          <w:r>
            <w:fldChar w:fldCharType="begin"/>
          </w:r>
          <w:r>
            <w:rPr>
              <w:webHidden/>
              <w:rStyle w:val="IndexLink"/>
            </w:rPr>
            <w:instrText xml:space="preserve"> TOC \z \o "1-2" \u \h</w:instrText>
          </w:r>
          <w:r>
            <w:rPr>
              <w:webHidden/>
              <w:rStyle w:val="IndexLink"/>
            </w:rPr>
            <w:fldChar w:fldCharType="separate"/>
          </w:r>
          <w:hyperlink w:anchor="__RefHeading___Toc8147_528838595">
            <w:r>
              <w:rPr>
                <w:webHidden/>
                <w:rStyle w:val="IndexLink"/>
              </w:rPr>
              <w:t>Publication Notice</w:t>
              <w:tab/>
              <w:t>3</w:t>
            </w:r>
          </w:hyperlink>
        </w:p>
        <w:p>
          <w:pPr>
            <w:pStyle w:val="TOC2"/>
            <w:tabs>
              <w:tab w:val="clear" w:pos="9355"/>
              <w:tab w:val="right" w:pos="9637" w:leader="dot"/>
            </w:tabs>
            <w:rPr/>
          </w:pPr>
          <w:hyperlink w:anchor="__RefHeading__Edition33Draft">
            <w:r>
              <w:rPr>
                <w:webHidden/>
                <w:rStyle w:val="IndexLink"/>
              </w:rPr>
              <w:t>Edition 3.3 Change Statement</w:t>
              <w:tab/>
              <w:t>4</w:t>
            </w:r>
          </w:hyperlink>
        </w:p>
        <w:p>
          <w:pPr>
            <w:pStyle w:val="TOC2"/>
            <w:tabs>
              <w:tab w:val="clear" w:pos="9355"/>
              <w:tab w:val="right" w:pos="9637" w:leader="dot"/>
            </w:tabs>
            <w:rPr/>
          </w:pPr>
          <w:hyperlink w:anchor="__RefHeading___Toc9861_2989533693">
            <w:r>
              <w:rPr>
                <w:webHidden/>
                <w:rStyle w:val="IndexLink"/>
              </w:rPr>
              <w:t>Edition 3.2 Change Statement</w:t>
              <w:tab/>
              <w:t>5</w:t>
            </w:r>
          </w:hyperlink>
        </w:p>
        <w:p>
          <w:pPr>
            <w:pStyle w:val="TOC1"/>
            <w:tabs>
              <w:tab w:val="clear" w:pos="9638"/>
              <w:tab w:val="right" w:pos="9637" w:leader="dot"/>
            </w:tabs>
            <w:rPr/>
          </w:pPr>
          <w:hyperlink w:anchor="__RefHeading___Toc8149_528838595">
            <w:r>
              <w:rPr>
                <w:webHidden/>
                <w:rStyle w:val="IndexLink"/>
              </w:rPr>
              <w:t>Abstract</w:t>
              <w:tab/>
              <w:t>6</w:t>
            </w:r>
          </w:hyperlink>
        </w:p>
        <w:p>
          <w:pPr>
            <w:pStyle w:val="TOC1"/>
            <w:tabs>
              <w:tab w:val="clear" w:pos="9638"/>
              <w:tab w:val="right" w:pos="9637" w:leader="dot"/>
            </w:tabs>
            <w:rPr/>
          </w:pPr>
          <w:hyperlink w:anchor="__RefHeading___Toc8151_528838595">
            <w:r>
              <w:rPr>
                <w:webHidden/>
                <w:rStyle w:val="IndexLink"/>
              </w:rPr>
              <w:t>Executive Summary</w:t>
              <w:tab/>
              <w:t>7</w:t>
            </w:r>
          </w:hyperlink>
        </w:p>
        <w:p>
          <w:pPr>
            <w:pStyle w:val="TOC1"/>
            <w:tabs>
              <w:tab w:val="clear" w:pos="9638"/>
              <w:tab w:val="right" w:pos="9637" w:leader="dot"/>
            </w:tabs>
            <w:rPr/>
          </w:pPr>
          <w:hyperlink w:anchor="__RefHeading___Toc8167_528838595">
            <w:r>
              <w:rPr>
                <w:webHidden/>
                <w:rStyle w:val="IndexLink"/>
              </w:rPr>
              <w:t>Part I — Foundations</w:t>
              <w:tab/>
              <w:t>11</w:t>
            </w:r>
          </w:hyperlink>
        </w:p>
        <w:p>
          <w:pPr>
            <w:pStyle w:val="TOC2"/>
            <w:tabs>
              <w:tab w:val="clear" w:pos="9355"/>
              <w:tab w:val="right" w:pos="9637" w:leader="dot"/>
            </w:tabs>
            <w:rPr/>
          </w:pPr>
          <w:hyperlink w:anchor="__RefHeading___Toc8169_528838595">
            <w:r>
              <w:rPr>
                <w:webHidden/>
                <w:rStyle w:val="IndexLink"/>
              </w:rPr>
              <w:t>1. Introduction</w:t>
              <w:tab/>
              <w:t>12</w:t>
            </w:r>
          </w:hyperlink>
        </w:p>
        <w:p>
          <w:pPr>
            <w:pStyle w:val="TOC2"/>
            <w:tabs>
              <w:tab w:val="clear" w:pos="9355"/>
              <w:tab w:val="right" w:pos="9637" w:leader="dot"/>
            </w:tabs>
            <w:rPr/>
          </w:pPr>
          <w:hyperlink w:anchor="__RefHeading___Toc8181_528838595">
            <w:r>
              <w:rPr>
                <w:webHidden/>
                <w:rStyle w:val="IndexLink"/>
              </w:rPr>
              <w:t>2. The Digital Value Problem</w:t>
              <w:tab/>
              <w:t>17</w:t>
            </w:r>
          </w:hyperlink>
        </w:p>
        <w:p>
          <w:pPr>
            <w:pStyle w:val="TOC2"/>
            <w:tabs>
              <w:tab w:val="clear" w:pos="9355"/>
              <w:tab w:val="right" w:pos="9637" w:leader="dot"/>
            </w:tabs>
            <w:rPr/>
          </w:pPr>
          <w:hyperlink w:anchor="__RefHeading___Toc8193_528838595">
            <w:r>
              <w:rPr>
                <w:webHidden/>
                <w:rStyle w:val="IndexLink"/>
              </w:rPr>
              <w:t>3. Networks as Measurable Economies</w:t>
              <w:tab/>
              <w:t>19</w:t>
            </w:r>
          </w:hyperlink>
        </w:p>
        <w:p>
          <w:pPr>
            <w:pStyle w:val="TOC2"/>
            <w:tabs>
              <w:tab w:val="clear" w:pos="9355"/>
              <w:tab w:val="right" w:pos="9637" w:leader="dot"/>
            </w:tabs>
            <w:rPr/>
          </w:pPr>
          <w:hyperlink w:anchor="__RefHeading___Toc8207_528838595">
            <w:r>
              <w:rPr>
                <w:webHidden/>
                <w:rStyle w:val="IndexLink"/>
              </w:rPr>
              <w:t>4. Constitutional Principles</w:t>
              <w:tab/>
              <w:t>21</w:t>
            </w:r>
          </w:hyperlink>
        </w:p>
        <w:p>
          <w:pPr>
            <w:pStyle w:val="TOC1"/>
            <w:tabs>
              <w:tab w:val="clear" w:pos="9638"/>
              <w:tab w:val="right" w:pos="9637" w:leader="dot"/>
            </w:tabs>
            <w:rPr/>
          </w:pPr>
          <w:hyperlink w:anchor="__RefHeading___Toc8229_528838595">
            <w:r>
              <w:rPr>
                <w:webHidden/>
                <w:rStyle w:val="IndexLink"/>
              </w:rPr>
              <w:t>Part II — Architecture, Data and Measurement</w:t>
              <w:tab/>
              <w:t>23</w:t>
            </w:r>
          </w:hyperlink>
        </w:p>
        <w:p>
          <w:pPr>
            <w:pStyle w:val="TOC2"/>
            <w:tabs>
              <w:tab w:val="clear" w:pos="9355"/>
              <w:tab w:val="right" w:pos="9637" w:leader="dot"/>
            </w:tabs>
            <w:rPr/>
          </w:pPr>
          <w:hyperlink w:anchor="__RefHeading___Toc8231_528838595">
            <w:r>
              <w:rPr>
                <w:webHidden/>
                <w:rStyle w:val="IndexLink"/>
              </w:rPr>
              <w:t>5. System Architecture</w:t>
              <w:tab/>
              <w:t>24</w:t>
            </w:r>
          </w:hyperlink>
        </w:p>
        <w:p>
          <w:pPr>
            <w:pStyle w:val="TOC2"/>
            <w:tabs>
              <w:tab w:val="clear" w:pos="9355"/>
              <w:tab w:val="right" w:pos="9637" w:leader="dot"/>
            </w:tabs>
            <w:rPr/>
          </w:pPr>
          <w:hyperlink w:anchor="__RefHeading___Toc8247_528838595">
            <w:r>
              <w:rPr>
                <w:webHidden/>
                <w:rStyle w:val="IndexLink"/>
              </w:rPr>
              <w:t>6. Data-Source Hierarchy and Provenance</w:t>
              <w:tab/>
              <w:t>27</w:t>
            </w:r>
          </w:hyperlink>
        </w:p>
        <w:p>
          <w:pPr>
            <w:pStyle w:val="TOC2"/>
            <w:tabs>
              <w:tab w:val="clear" w:pos="9355"/>
              <w:tab w:val="right" w:pos="9637" w:leader="dot"/>
            </w:tabs>
            <w:rPr/>
          </w:pPr>
          <w:hyperlink w:anchor="__RefHeading___Toc8261_528838595">
            <w:r>
              <w:rPr>
                <w:webHidden/>
                <w:rStyle w:val="IndexLink"/>
              </w:rPr>
              <w:t>7. Universal Definitions and Chain-Specific Adapters</w:t>
              <w:tab/>
              <w:t>30</w:t>
            </w:r>
          </w:hyperlink>
        </w:p>
        <w:p>
          <w:pPr>
            <w:pStyle w:val="TOC2"/>
            <w:tabs>
              <w:tab w:val="clear" w:pos="9355"/>
              <w:tab w:val="right" w:pos="9637" w:leader="dot"/>
            </w:tabs>
            <w:rPr/>
          </w:pPr>
          <w:hyperlink w:anchor="__RefHeading___Toc8275_528838595">
            <w:r>
              <w:rPr>
                <w:webHidden/>
                <w:rStyle w:val="IndexLink"/>
              </w:rPr>
              <w:t>8. Normalisation, Directionality and Smoothing</w:t>
              <w:tab/>
              <w:t>32</w:t>
            </w:r>
          </w:hyperlink>
        </w:p>
        <w:p>
          <w:pPr>
            <w:pStyle w:val="TOC2"/>
            <w:tabs>
              <w:tab w:val="clear" w:pos="9355"/>
              <w:tab w:val="right" w:pos="9637" w:leader="dot"/>
            </w:tabs>
            <w:rPr/>
          </w:pPr>
          <w:hyperlink w:anchor="__RefHeading___Toc8297_528838595">
            <w:r>
              <w:rPr>
                <w:webHidden/>
                <w:rStyle w:val="IndexLink"/>
              </w:rPr>
              <w:t>9. Economic Reference Unit</w:t>
              <w:tab/>
              <w:t>35</w:t>
            </w:r>
          </w:hyperlink>
        </w:p>
        <w:p>
          <w:pPr>
            <w:pStyle w:val="TOC1"/>
            <w:tabs>
              <w:tab w:val="clear" w:pos="9638"/>
              <w:tab w:val="right" w:pos="9637" w:leader="dot"/>
            </w:tabs>
            <w:rPr/>
          </w:pPr>
          <w:hyperlink w:anchor="__RefHeading___Toc8311_528838595">
            <w:r>
              <w:rPr>
                <w:webHidden/>
                <w:rStyle w:val="IndexLink"/>
              </w:rPr>
              <w:t>Part III — The Six-Index VTS Engine</w:t>
              <w:tab/>
              <w:t>37</w:t>
            </w:r>
          </w:hyperlink>
        </w:p>
        <w:p>
          <w:pPr>
            <w:pStyle w:val="TOC2"/>
            <w:tabs>
              <w:tab w:val="clear" w:pos="9355"/>
              <w:tab w:val="right" w:pos="9637" w:leader="dot"/>
            </w:tabs>
            <w:rPr/>
          </w:pPr>
          <w:hyperlink w:anchor="__RefHeading___Toc8313_528838595">
            <w:r>
              <w:rPr>
                <w:webHidden/>
                <w:rStyle w:val="IndexLink"/>
              </w:rPr>
              <w:t>10. Value Transfer Score</w:t>
              <w:tab/>
              <w:t>38</w:t>
            </w:r>
          </w:hyperlink>
        </w:p>
        <w:p>
          <w:pPr>
            <w:pStyle w:val="TOC2"/>
            <w:tabs>
              <w:tab w:val="clear" w:pos="9355"/>
              <w:tab w:val="right" w:pos="9637" w:leader="dot"/>
            </w:tabs>
            <w:rPr/>
          </w:pPr>
          <w:hyperlink w:anchor="__RefHeading___Toc8325_528838595">
            <w:r>
              <w:rPr>
                <w:webHidden/>
                <w:rStyle w:val="IndexLink"/>
              </w:rPr>
              <w:t>11. Proof of Value (PoV)</w:t>
              <w:tab/>
              <w:t>40</w:t>
            </w:r>
          </w:hyperlink>
        </w:p>
        <w:p>
          <w:pPr>
            <w:pStyle w:val="TOC2"/>
            <w:tabs>
              <w:tab w:val="clear" w:pos="9355"/>
              <w:tab w:val="right" w:pos="9637" w:leader="dot"/>
            </w:tabs>
            <w:rPr/>
          </w:pPr>
          <w:hyperlink w:anchor="__RefHeading___Toc8345_528838595">
            <w:r>
              <w:rPr>
                <w:webHidden/>
                <w:rStyle w:val="IndexLink"/>
              </w:rPr>
              <w:t>12. On-Chain Participation Index (OPI)</w:t>
              <w:tab/>
              <w:t>43</w:t>
            </w:r>
          </w:hyperlink>
        </w:p>
        <w:p>
          <w:pPr>
            <w:pStyle w:val="TOC2"/>
            <w:tabs>
              <w:tab w:val="clear" w:pos="9355"/>
              <w:tab w:val="right" w:pos="9637" w:leader="dot"/>
            </w:tabs>
            <w:rPr/>
          </w:pPr>
          <w:hyperlink w:anchor="__RefHeading___Toc8363_528838595">
            <w:r>
              <w:rPr>
                <w:webHidden/>
                <w:rStyle w:val="IndexLink"/>
              </w:rPr>
              <w:t>13. Decentralised Liquidity Index (DLI)</w:t>
              <w:tab/>
              <w:t>45</w:t>
            </w:r>
          </w:hyperlink>
        </w:p>
        <w:p>
          <w:pPr>
            <w:pStyle w:val="TOC2"/>
            <w:tabs>
              <w:tab w:val="clear" w:pos="9355"/>
              <w:tab w:val="right" w:pos="9637" w:leader="dot"/>
            </w:tabs>
            <w:rPr/>
          </w:pPr>
          <w:hyperlink w:anchor="__RefHeading___Toc8383_528838595">
            <w:r>
              <w:rPr>
                <w:webHidden/>
                <w:rStyle w:val="IndexLink"/>
              </w:rPr>
              <w:t>14. Protocol Integrity Index (PII)</w:t>
              <w:tab/>
              <w:t>47</w:t>
            </w:r>
          </w:hyperlink>
        </w:p>
        <w:p>
          <w:pPr>
            <w:pStyle w:val="TOC2"/>
            <w:tabs>
              <w:tab w:val="clear" w:pos="9355"/>
              <w:tab w:val="right" w:pos="9637" w:leader="dot"/>
            </w:tabs>
            <w:rPr/>
          </w:pPr>
          <w:hyperlink w:anchor="__RefHeading___Toc8401_528838595">
            <w:r>
              <w:rPr>
                <w:webHidden/>
                <w:rStyle w:val="IndexLink"/>
              </w:rPr>
              <w:t>15. Real-World Adoption Index (RWAI)</w:t>
              <w:tab/>
              <w:t>49</w:t>
            </w:r>
          </w:hyperlink>
        </w:p>
        <w:p>
          <w:pPr>
            <w:pStyle w:val="TOC2"/>
            <w:tabs>
              <w:tab w:val="clear" w:pos="9355"/>
              <w:tab w:val="right" w:pos="9637" w:leader="dot"/>
            </w:tabs>
            <w:rPr/>
          </w:pPr>
          <w:hyperlink w:anchor="__RefHeading___Toc8421_528838595">
            <w:r>
              <w:rPr>
                <w:webHidden/>
                <w:rStyle w:val="IndexLink"/>
              </w:rPr>
              <w:t>16. Economic Resilience Index (ERI)</w:t>
              <w:tab/>
              <w:t>52</w:t>
            </w:r>
          </w:hyperlink>
        </w:p>
        <w:p>
          <w:pPr>
            <w:pStyle w:val="TOC2"/>
            <w:tabs>
              <w:tab w:val="clear" w:pos="9355"/>
              <w:tab w:val="right" w:pos="9637" w:leader="dot"/>
            </w:tabs>
            <w:rPr/>
          </w:pPr>
          <w:hyperlink w:anchor="__RefHeading___Toc8443_528838595">
            <w:r>
              <w:rPr>
                <w:webHidden/>
                <w:rStyle w:val="IndexLink"/>
              </w:rPr>
              <w:t>17. Aggregation, Missing Data and Publication Rules</w:t>
              <w:tab/>
              <w:t>55</w:t>
            </w:r>
          </w:hyperlink>
        </w:p>
        <w:p>
          <w:pPr>
            <w:pStyle w:val="TOC1"/>
            <w:tabs>
              <w:tab w:val="clear" w:pos="9638"/>
              <w:tab w:val="right" w:pos="9637" w:leader="dot"/>
            </w:tabs>
            <w:rPr/>
          </w:pPr>
          <w:hyperlink w:anchor="__RefHeading___Toc8461_528838595">
            <w:r>
              <w:rPr>
                <w:webHidden/>
                <w:rStyle w:val="IndexLink"/>
              </w:rPr>
              <w:t>Part IV — Recognition, Opportunity, Risk and Confidence</w:t>
              <w:tab/>
              <w:t>57</w:t>
            </w:r>
          </w:hyperlink>
        </w:p>
        <w:p>
          <w:pPr>
            <w:pStyle w:val="TOC2"/>
            <w:tabs>
              <w:tab w:val="clear" w:pos="9355"/>
              <w:tab w:val="right" w:pos="9637" w:leader="dot"/>
            </w:tabs>
            <w:rPr/>
          </w:pPr>
          <w:hyperlink w:anchor="__RefHeading___Toc8463_528838595">
            <w:r>
              <w:rPr>
                <w:webHidden/>
                <w:rStyle w:val="IndexLink"/>
              </w:rPr>
              <w:t>18. Value Recognition Index (VRI)</w:t>
              <w:tab/>
              <w:t>58</w:t>
            </w:r>
          </w:hyperlink>
        </w:p>
        <w:p>
          <w:pPr>
            <w:pStyle w:val="TOC2"/>
            <w:tabs>
              <w:tab w:val="clear" w:pos="9355"/>
              <w:tab w:val="right" w:pos="9637" w:leader="dot"/>
            </w:tabs>
            <w:rPr/>
          </w:pPr>
          <w:hyperlink w:anchor="__RefHeading___Toc8481_528838595">
            <w:r>
              <w:rPr>
                <w:webHidden/>
                <w:rStyle w:val="IndexLink"/>
              </w:rPr>
              <w:t>19. Opportunity Gap</w:t>
              <w:tab/>
              <w:t>60</w:t>
            </w:r>
          </w:hyperlink>
        </w:p>
        <w:p>
          <w:pPr>
            <w:pStyle w:val="TOC2"/>
            <w:tabs>
              <w:tab w:val="clear" w:pos="9355"/>
              <w:tab w:val="right" w:pos="9637" w:leader="dot"/>
            </w:tabs>
            <w:rPr/>
          </w:pPr>
          <w:hyperlink w:anchor="__RefHeading___Toc8493_528838595">
            <w:r>
              <w:rPr>
                <w:webHidden/>
                <w:rStyle w:val="IndexLink"/>
              </w:rPr>
              <w:t>20. VOX Risk Score (VRS)</w:t>
              <w:tab/>
              <w:t>62</w:t>
            </w:r>
          </w:hyperlink>
        </w:p>
        <w:p>
          <w:pPr>
            <w:pStyle w:val="TOC2"/>
            <w:tabs>
              <w:tab w:val="clear" w:pos="9355"/>
              <w:tab w:val="right" w:pos="9637" w:leader="dot"/>
            </w:tabs>
            <w:rPr/>
          </w:pPr>
          <w:hyperlink w:anchor="__RefHeading___Toc8513_528838595">
            <w:r>
              <w:rPr>
                <w:webHidden/>
                <w:rStyle w:val="IndexLink"/>
              </w:rPr>
              <w:t>21. VOX Confidence Score (VCS)</w:t>
              <w:tab/>
              <w:t>64</w:t>
            </w:r>
          </w:hyperlink>
        </w:p>
        <w:p>
          <w:pPr>
            <w:pStyle w:val="TOC1"/>
            <w:tabs>
              <w:tab w:val="clear" w:pos="9638"/>
              <w:tab w:val="right" w:pos="9637" w:leader="dot"/>
            </w:tabs>
            <w:rPr/>
          </w:pPr>
          <w:hyperlink w:anchor="__RefHeading___Toc8533_528838595">
            <w:r>
              <w:rPr>
                <w:webHidden/>
                <w:rStyle w:val="IndexLink"/>
              </w:rPr>
              <w:t>Part V — VOX Units and V-FOREX</w:t>
              <w:tab/>
              <w:t>66</w:t>
            </w:r>
          </w:hyperlink>
        </w:p>
        <w:p>
          <w:pPr>
            <w:pStyle w:val="TOC2"/>
            <w:tabs>
              <w:tab w:val="clear" w:pos="9355"/>
              <w:tab w:val="right" w:pos="9637" w:leader="dot"/>
            </w:tabs>
            <w:rPr/>
          </w:pPr>
          <w:hyperlink w:anchor="__RefHeading___Toc8535_528838595">
            <w:r>
              <w:rPr>
                <w:webHidden/>
                <w:rStyle w:val="IndexLink"/>
              </w:rPr>
              <w:t>22. VOX as an Analytical Unit</w:t>
              <w:tab/>
              <w:t>67</w:t>
            </w:r>
          </w:hyperlink>
        </w:p>
        <w:p>
          <w:pPr>
            <w:pStyle w:val="TOC2"/>
            <w:tabs>
              <w:tab w:val="clear" w:pos="9355"/>
              <w:tab w:val="right" w:pos="9637" w:leader="dot"/>
            </w:tabs>
            <w:rPr/>
          </w:pPr>
          <w:hyperlink w:anchor="__RefHeading___Toc8545_528838595">
            <w:r>
              <w:rPr>
                <w:webHidden/>
                <w:rStyle w:val="IndexLink"/>
              </w:rPr>
              <w:t>23. Optional Tokenised VOX</w:t>
              <w:tab/>
              <w:t>68</w:t>
            </w:r>
          </w:hyperlink>
        </w:p>
        <w:p>
          <w:pPr>
            <w:pStyle w:val="TOC2"/>
            <w:tabs>
              <w:tab w:val="clear" w:pos="9355"/>
              <w:tab w:val="right" w:pos="9637" w:leader="dot"/>
            </w:tabs>
            <w:rPr/>
          </w:pPr>
          <w:hyperlink w:anchor="__RefHeading___Toc8565_528838595">
            <w:r>
              <w:rPr>
                <w:webHidden/>
                <w:rStyle w:val="IndexLink"/>
              </w:rPr>
              <w:t>24. VOX Digital Forex Market (V-FOREX)</w:t>
              <w:tab/>
              <w:t>71</w:t>
            </w:r>
          </w:hyperlink>
        </w:p>
        <w:p>
          <w:pPr>
            <w:pStyle w:val="TOC2"/>
            <w:tabs>
              <w:tab w:val="clear" w:pos="9355"/>
              <w:tab w:val="right" w:pos="9637" w:leader="dot"/>
            </w:tabs>
            <w:rPr/>
          </w:pPr>
          <w:hyperlink w:anchor="__RefHeading___Toc8583_528838595">
            <w:r>
              <w:rPr>
                <w:webHidden/>
                <w:rStyle w:val="IndexLink"/>
              </w:rPr>
              <w:t>25. Market, Cross-Chain and Settlement Risks</w:t>
              <w:tab/>
              <w:t>73</w:t>
            </w:r>
          </w:hyperlink>
        </w:p>
        <w:p>
          <w:pPr>
            <w:pStyle w:val="TOC1"/>
            <w:tabs>
              <w:tab w:val="clear" w:pos="9638"/>
              <w:tab w:val="right" w:pos="9637" w:leader="dot"/>
            </w:tabs>
            <w:rPr/>
          </w:pPr>
          <w:hyperlink w:anchor="__RefHeading___Toc8601_528838595">
            <w:r>
              <w:rPr>
                <w:webHidden/>
                <w:rStyle w:val="IndexLink"/>
              </w:rPr>
              <w:t>Part VI — Governance, Transparency and Infrastructure</w:t>
              <w:tab/>
              <w:t>75</w:t>
            </w:r>
          </w:hyperlink>
        </w:p>
        <w:p>
          <w:pPr>
            <w:pStyle w:val="TOC2"/>
            <w:tabs>
              <w:tab w:val="clear" w:pos="9355"/>
              <w:tab w:val="right" w:pos="9637" w:leader="dot"/>
            </w:tabs>
            <w:rPr/>
          </w:pPr>
          <w:hyperlink w:anchor="__RefHeading___Toc8603_528838595">
            <w:r>
              <w:rPr>
                <w:webHidden/>
                <w:rStyle w:val="IndexLink"/>
              </w:rPr>
              <w:t>26. The VOX DAO</w:t>
              <w:tab/>
              <w:t>76</w:t>
            </w:r>
          </w:hyperlink>
        </w:p>
        <w:p>
          <w:pPr>
            <w:pStyle w:val="TOC2"/>
            <w:tabs>
              <w:tab w:val="clear" w:pos="9355"/>
              <w:tab w:val="right" w:pos="9637" w:leader="dot"/>
            </w:tabs>
            <w:rPr/>
          </w:pPr>
          <w:hyperlink w:anchor="__RefHeading___Toc8617_528838595">
            <w:r>
              <w:rPr>
                <w:webHidden/>
                <w:rStyle w:val="IndexLink"/>
              </w:rPr>
              <w:t>27. Governance Mechanics and Capture Resistance</w:t>
              <w:tab/>
              <w:t>78</w:t>
            </w:r>
          </w:hyperlink>
        </w:p>
        <w:p>
          <w:pPr>
            <w:pStyle w:val="TOC2"/>
            <w:tabs>
              <w:tab w:val="clear" w:pos="9355"/>
              <w:tab w:val="right" w:pos="9637" w:leader="dot"/>
            </w:tabs>
            <w:rPr/>
          </w:pPr>
          <w:hyperlink w:anchor="__RefHeading___Toc8631_528838595">
            <w:r>
              <w:rPr>
                <w:webHidden/>
                <w:rStyle w:val="IndexLink"/>
              </w:rPr>
              <w:t>28. Versioning, Audit and Dispute Resolution</w:t>
              <w:tab/>
              <w:t>80</w:t>
            </w:r>
          </w:hyperlink>
        </w:p>
        <w:p>
          <w:pPr>
            <w:pStyle w:val="TOC2"/>
            <w:tabs>
              <w:tab w:val="clear" w:pos="9355"/>
              <w:tab w:val="right" w:pos="9637" w:leader="dot"/>
            </w:tabs>
            <w:rPr/>
          </w:pPr>
          <w:hyperlink w:anchor="__RefHeading___Toc8645_528838595">
            <w:r>
              <w:rPr>
                <w:webHidden/>
                <w:rStyle w:val="IndexLink"/>
              </w:rPr>
              <w:t>29. VoxUI Transparency Layer</w:t>
              <w:tab/>
              <w:t>82</w:t>
            </w:r>
          </w:hyperlink>
        </w:p>
        <w:p>
          <w:pPr>
            <w:pStyle w:val="TOC2"/>
            <w:tabs>
              <w:tab w:val="clear" w:pos="9355"/>
              <w:tab w:val="right" w:pos="9637" w:leader="dot"/>
            </w:tabs>
            <w:rPr/>
          </w:pPr>
          <w:hyperlink w:anchor="__RefHeading___Toc8661_528838595">
            <w:r>
              <w:rPr>
                <w:webHidden/>
                <w:rStyle w:val="IndexLink"/>
              </w:rPr>
              <w:t>30. Voxonomics API and Reproducibility Standard</w:t>
              <w:tab/>
              <w:t>84</w:t>
            </w:r>
          </w:hyperlink>
        </w:p>
        <w:p>
          <w:pPr>
            <w:pStyle w:val="TOC1"/>
            <w:tabs>
              <w:tab w:val="clear" w:pos="9638"/>
              <w:tab w:val="right" w:pos="9637" w:leader="dot"/>
            </w:tabs>
            <w:rPr/>
          </w:pPr>
          <w:hyperlink w:anchor="__RefHeading___Toc8677_528838595">
            <w:r>
              <w:rPr>
                <w:webHidden/>
                <w:rStyle w:val="IndexLink"/>
              </w:rPr>
              <w:t>Part VII — Validation, Security and Limitations</w:t>
              <w:tab/>
              <w:t>86</w:t>
            </w:r>
          </w:hyperlink>
        </w:p>
        <w:p>
          <w:pPr>
            <w:pStyle w:val="TOC2"/>
            <w:tabs>
              <w:tab w:val="clear" w:pos="9355"/>
              <w:tab w:val="right" w:pos="9637" w:leader="dot"/>
            </w:tabs>
            <w:rPr/>
          </w:pPr>
          <w:hyperlink w:anchor="__RefHeading___Toc8679_528838595">
            <w:r>
              <w:rPr>
                <w:webHidden/>
                <w:rStyle w:val="IndexLink"/>
              </w:rPr>
              <w:t>31. Validation Framework</w:t>
              <w:tab/>
              <w:t>87</w:t>
            </w:r>
          </w:hyperlink>
        </w:p>
        <w:p>
          <w:pPr>
            <w:pStyle w:val="TOC2"/>
            <w:tabs>
              <w:tab w:val="clear" w:pos="9355"/>
              <w:tab w:val="right" w:pos="9637" w:leader="dot"/>
            </w:tabs>
            <w:rPr/>
          </w:pPr>
          <w:hyperlink w:anchor="__RefHeading___Toc8699_528838595">
            <w:r>
              <w:rPr>
                <w:webHidden/>
                <w:rStyle w:val="IndexLink"/>
              </w:rPr>
              <w:t>32. Manipulation Resistance</w:t>
              <w:tab/>
              <w:t>89</w:t>
            </w:r>
          </w:hyperlink>
        </w:p>
        <w:p>
          <w:pPr>
            <w:pStyle w:val="TOC2"/>
            <w:tabs>
              <w:tab w:val="clear" w:pos="9355"/>
              <w:tab w:val="right" w:pos="9637" w:leader="dot"/>
            </w:tabs>
            <w:rPr/>
          </w:pPr>
          <w:hyperlink w:anchor="__RefHeading___Toc8719_528838595">
            <w:r>
              <w:rPr>
                <w:webHidden/>
                <w:rStyle w:val="IndexLink"/>
              </w:rPr>
              <w:t>33. Security Architecture</w:t>
              <w:tab/>
              <w:t>91</w:t>
            </w:r>
          </w:hyperlink>
        </w:p>
        <w:p>
          <w:pPr>
            <w:pStyle w:val="TOC2"/>
            <w:tabs>
              <w:tab w:val="clear" w:pos="9355"/>
              <w:tab w:val="right" w:pos="9637" w:leader="dot"/>
            </w:tabs>
            <w:rPr/>
          </w:pPr>
          <w:hyperlink w:anchor="__RefHeading___Toc8739_528838595">
            <w:r>
              <w:rPr>
                <w:webHidden/>
                <w:rStyle w:val="IndexLink"/>
              </w:rPr>
              <w:t>34. Economic, Governance and Legal Risk</w:t>
              <w:tab/>
              <w:t>93</w:t>
            </w:r>
          </w:hyperlink>
        </w:p>
        <w:p>
          <w:pPr>
            <w:pStyle w:val="TOC2"/>
            <w:tabs>
              <w:tab w:val="clear" w:pos="9355"/>
              <w:tab w:val="right" w:pos="9637" w:leader="dot"/>
            </w:tabs>
            <w:rPr/>
          </w:pPr>
          <w:hyperlink w:anchor="__RefHeading___Toc8761_528838595">
            <w:r>
              <w:rPr>
                <w:webHidden/>
                <w:rStyle w:val="IndexLink"/>
              </w:rPr>
              <w:t>35. Limitations and Responsible Interpretation</w:t>
              <w:tab/>
              <w:t>95</w:t>
            </w:r>
          </w:hyperlink>
        </w:p>
        <w:p>
          <w:pPr>
            <w:pStyle w:val="TOC1"/>
            <w:tabs>
              <w:tab w:val="clear" w:pos="9638"/>
              <w:tab w:val="right" w:pos="9637" w:leader="dot"/>
            </w:tabs>
            <w:rPr/>
          </w:pPr>
          <w:hyperlink w:anchor="__RefHeading___Toc8781_528838595">
            <w:r>
              <w:rPr>
                <w:webHidden/>
                <w:rStyle w:val="IndexLink"/>
              </w:rPr>
              <w:t>Part VIII — Implementation and Future Development</w:t>
              <w:tab/>
              <w:t>97</w:t>
            </w:r>
          </w:hyperlink>
        </w:p>
        <w:p>
          <w:pPr>
            <w:pStyle w:val="TOC2"/>
            <w:tabs>
              <w:tab w:val="clear" w:pos="9355"/>
              <w:tab w:val="right" w:pos="9637" w:leader="dot"/>
            </w:tabs>
            <w:rPr/>
          </w:pPr>
          <w:hyperlink w:anchor="__RefHeading___Toc8783_528838595">
            <w:r>
              <w:rPr>
                <w:webHidden/>
                <w:rStyle w:val="IndexLink"/>
              </w:rPr>
              <w:t>36. Roadmap</w:t>
              <w:tab/>
              <w:t>98</w:t>
            </w:r>
          </w:hyperlink>
        </w:p>
        <w:p>
          <w:pPr>
            <w:pStyle w:val="TOC1"/>
            <w:tabs>
              <w:tab w:val="clear" w:pos="9638"/>
              <w:tab w:val="right" w:pos="9637" w:leader="dot"/>
            </w:tabs>
            <w:rPr/>
          </w:pPr>
          <w:hyperlink w:anchor="__RefHeading___Toc9863_2989533693">
            <w:r>
              <w:rPr>
                <w:webHidden/>
                <w:rStyle w:val="IndexLink"/>
              </w:rPr>
              <w:t>Part IX — Evidence Infrastructure and Distributed Nodes</w:t>
              <w:tab/>
              <w:t>101</w:t>
            </w:r>
          </w:hyperlink>
        </w:p>
        <w:p>
          <w:pPr>
            <w:pStyle w:val="TOC2"/>
            <w:tabs>
              <w:tab w:val="clear" w:pos="9355"/>
              <w:tab w:val="right" w:pos="9637" w:leader="dot"/>
            </w:tabs>
            <w:rPr/>
          </w:pPr>
          <w:hyperlink w:anchor="__RefHeading___Toc9865_2989533693">
            <w:r>
              <w:rPr>
                <w:webHidden/>
                <w:rStyle w:val="IndexLink"/>
              </w:rPr>
              <w:t>37. Canonical Evidence Architecture</w:t>
              <w:tab/>
              <w:t>102</w:t>
            </w:r>
          </w:hyperlink>
        </w:p>
        <w:p>
          <w:pPr>
            <w:pStyle w:val="TOC2"/>
            <w:tabs>
              <w:tab w:val="clear" w:pos="9355"/>
              <w:tab w:val="right" w:pos="9637" w:leader="dot"/>
            </w:tabs>
            <w:rPr/>
          </w:pPr>
          <w:hyperlink w:anchor="__RefHeading___Toc9867_2989533693">
            <w:r>
              <w:rPr>
                <w:webHidden/>
                <w:rStyle w:val="IndexLink"/>
              </w:rPr>
              <w:t>38. Evidence Lifecycle and Retirement Governance</w:t>
              <w:tab/>
              <w:t>104</w:t>
            </w:r>
          </w:hyperlink>
        </w:p>
        <w:p>
          <w:pPr>
            <w:pStyle w:val="TOC2"/>
            <w:tabs>
              <w:tab w:val="clear" w:pos="9355"/>
              <w:tab w:val="right" w:pos="9637" w:leader="dot"/>
            </w:tabs>
            <w:rPr/>
          </w:pPr>
          <w:hyperlink w:anchor="__RefHeading___Toc9869_2989533693">
            <w:r>
              <w:rPr>
                <w:webHidden/>
                <w:rStyle w:val="IndexLink"/>
              </w:rPr>
              <w:t>39. Reproduction, Verification and Reconstructability</w:t>
              <w:tab/>
              <w:t>106</w:t>
            </w:r>
          </w:hyperlink>
        </w:p>
        <w:p>
          <w:pPr>
            <w:pStyle w:val="TOC2"/>
            <w:tabs>
              <w:tab w:val="clear" w:pos="9355"/>
              <w:tab w:val="right" w:pos="9637" w:leader="dot"/>
            </w:tabs>
            <w:rPr/>
          </w:pPr>
          <w:hyperlink w:anchor="__RefHeading___Toc9871_2989533693">
            <w:r>
              <w:rPr>
                <w:webHidden/>
                <w:rStyle w:val="IndexLink"/>
              </w:rPr>
              <w:t>40. Vox-in-a-Box Data and Evidence Nodes</w:t>
              <w:tab/>
              <w:t>108</w:t>
            </w:r>
          </w:hyperlink>
        </w:p>
        <w:p>
          <w:pPr>
            <w:pStyle w:val="TOC2"/>
            <w:tabs>
              <w:tab w:val="clear" w:pos="9355"/>
              <w:tab w:val="right" w:pos="9637" w:leader="dot"/>
            </w:tabs>
            <w:rPr/>
          </w:pPr>
          <w:hyperlink w:anchor="__RefHeading___Toc9873_2989533693">
            <w:r>
              <w:rPr>
                <w:webHidden/>
                <w:rStyle w:val="IndexLink"/>
              </w:rPr>
              <w:t>41. Distributed Replication, Challenge and Reconciliation</w:t>
              <w:tab/>
              <w:t>110</w:t>
            </w:r>
          </w:hyperlink>
        </w:p>
        <w:p>
          <w:pPr>
            <w:pStyle w:val="TOC2"/>
            <w:tabs>
              <w:tab w:val="clear" w:pos="9355"/>
              <w:tab w:val="right" w:pos="9637" w:leader="dot"/>
            </w:tabs>
            <w:rPr/>
          </w:pPr>
          <w:hyperlink w:anchor="__RefHeading___Toc9875_2989533693">
            <w:r>
              <w:rPr>
                <w:webHidden/>
                <w:rStyle w:val="IndexLink"/>
              </w:rPr>
              <w:t>42. Hosted Platform and Public-Service Security Boundary</w:t>
              <w:tab/>
              <w:t>111</w:t>
            </w:r>
          </w:hyperlink>
        </w:p>
        <w:p>
          <w:pPr>
            <w:pStyle w:val="TOC2"/>
            <w:tabs>
              <w:tab w:val="clear" w:pos="9355"/>
              <w:tab w:val="right" w:pos="9637" w:leader="dot"/>
            </w:tabs>
            <w:rPr/>
          </w:pPr>
          <w:hyperlink w:anchor="__RefHeading___Toc9877_2989533693">
            <w:r>
              <w:rPr>
                <w:webHidden/>
                <w:rStyle w:val="IndexLink"/>
              </w:rPr>
              <w:t>43. AI-Assisted Development Transparency</w:t>
              <w:tab/>
              <w:t>113</w:t>
            </w:r>
          </w:hyperlink>
        </w:p>
        <w:p>
          <w:pPr>
            <w:pStyle w:val="TOC1"/>
            <w:tabs>
              <w:tab w:val="clear" w:pos="9638"/>
              <w:tab w:val="right" w:pos="9637" w:leader="dot"/>
            </w:tabs>
            <w:rPr/>
          </w:pPr>
          <w:hyperlink w:anchor="__RefHeading___Toc9879_2989533693">
            <w:r>
              <w:rPr>
                <w:webHidden/>
                <w:rStyle w:val="IndexLink"/>
              </w:rPr>
              <w:t>Part X — Conclusion</w:t>
              <w:tab/>
              <w:t>114</w:t>
            </w:r>
          </w:hyperlink>
        </w:p>
        <w:p>
          <w:pPr>
            <w:pStyle w:val="TOC2"/>
            <w:tabs>
              <w:tab w:val="clear" w:pos="9355"/>
              <w:tab w:val="right" w:pos="9637" w:leader="dot"/>
            </w:tabs>
            <w:rPr/>
          </w:pPr>
          <w:hyperlink w:anchor="__RefHeading___Toc9881_2989533693">
            <w:r>
              <w:rPr>
                <w:webHidden/>
                <w:rStyle w:val="IndexLink"/>
              </w:rPr>
              <w:t>44. Conclusion</w:t>
              <w:tab/>
              <w:t>115</w:t>
            </w:r>
          </w:hyperlink>
        </w:p>
        <w:p>
          <w:pPr>
            <w:pStyle w:val="TOC1"/>
            <w:tabs>
              <w:tab w:val="clear" w:pos="9638"/>
              <w:tab w:val="right" w:pos="9637" w:leader="dot"/>
            </w:tabs>
            <w:rPr/>
          </w:pPr>
          <w:hyperlink w:anchor="__RefHeading___Toc11397_1706184067">
            <w:r>
              <w:rPr>
                <w:webHidden/>
                <w:rStyle w:val="IndexLink"/>
              </w:rPr>
              <w:t>Appendices</w:t>
              <w:tab/>
              <w:t>116</w:t>
            </w:r>
          </w:hyperlink>
        </w:p>
        <w:p>
          <w:pPr>
            <w:pStyle w:val="TOC2"/>
            <w:tabs>
              <w:tab w:val="clear" w:pos="9355"/>
              <w:tab w:val="right" w:pos="9637" w:leader="dot"/>
            </w:tabs>
            <w:rPr/>
          </w:pPr>
          <w:hyperlink w:anchor="__RefHeading___Toc8805_528838595">
            <w:r>
              <w:rPr>
                <w:webHidden/>
                <w:rStyle w:val="IndexLink"/>
              </w:rPr>
              <w:t>Appendix A — Mathematical Specification</w:t>
              <w:tab/>
              <w:t>117</w:t>
            </w:r>
          </w:hyperlink>
        </w:p>
        <w:p>
          <w:pPr>
            <w:pStyle w:val="TOC2"/>
            <w:tabs>
              <w:tab w:val="clear" w:pos="9355"/>
              <w:tab w:val="right" w:pos="9637" w:leader="dot"/>
            </w:tabs>
            <w:rPr/>
          </w:pPr>
          <w:hyperlink w:anchor="__RefHeading___Toc8833_528838595">
            <w:r>
              <w:rPr>
                <w:webHidden/>
                <w:rStyle w:val="IndexLink"/>
              </w:rPr>
              <w:t>Appendix B — Canonical Metric Registry</w:t>
              <w:tab/>
              <w:t>120</w:t>
            </w:r>
          </w:hyperlink>
        </w:p>
        <w:p>
          <w:pPr>
            <w:pStyle w:val="TOC2"/>
            <w:tabs>
              <w:tab w:val="clear" w:pos="9355"/>
              <w:tab w:val="right" w:pos="9637" w:leader="dot"/>
            </w:tabs>
            <w:rPr/>
          </w:pPr>
          <w:hyperlink w:anchor="__RefHeading___Toc8847_528838595">
            <w:r>
              <w:rPr>
                <w:webHidden/>
                <w:rStyle w:val="IndexLink"/>
              </w:rPr>
              <w:t>Appendix C — Worked VTS Example</w:t>
              <w:tab/>
              <w:t>123</w:t>
            </w:r>
          </w:hyperlink>
        </w:p>
        <w:p>
          <w:pPr>
            <w:pStyle w:val="TOC2"/>
            <w:tabs>
              <w:tab w:val="clear" w:pos="9355"/>
              <w:tab w:val="right" w:pos="9637" w:leader="dot"/>
            </w:tabs>
            <w:rPr/>
          </w:pPr>
          <w:hyperlink w:anchor="__RefHeading___Toc8851_528838595">
            <w:r>
              <w:rPr>
                <w:webHidden/>
                <w:rStyle w:val="IndexLink"/>
              </w:rPr>
              <w:t>Appendix D — Worked V-FOREX and VOX Example</w:t>
              <w:tab/>
              <w:t>125</w:t>
            </w:r>
          </w:hyperlink>
        </w:p>
        <w:p>
          <w:pPr>
            <w:pStyle w:val="TOC2"/>
            <w:tabs>
              <w:tab w:val="clear" w:pos="9355"/>
              <w:tab w:val="right" w:pos="9637" w:leader="dot"/>
            </w:tabs>
            <w:rPr/>
          </w:pPr>
          <w:hyperlink w:anchor="__RefHeading___Toc8857_528838595">
            <w:r>
              <w:rPr>
                <w:webHidden/>
                <w:rStyle w:val="IndexLink"/>
              </w:rPr>
              <w:t>Appendix E — Adapter Standard</w:t>
              <w:tab/>
              <w:t>127</w:t>
            </w:r>
          </w:hyperlink>
        </w:p>
        <w:p>
          <w:pPr>
            <w:pStyle w:val="TOC2"/>
            <w:tabs>
              <w:tab w:val="clear" w:pos="9355"/>
              <w:tab w:val="right" w:pos="9637" w:leader="dot"/>
            </w:tabs>
            <w:rPr/>
          </w:pPr>
          <w:hyperlink w:anchor="__RefHeading___Toc8863_528838595">
            <w:r>
              <w:rPr>
                <w:webHidden/>
                <w:rStyle w:val="IndexLink"/>
              </w:rPr>
              <w:t>Appendix F — Data Quality and Confidence Rules</w:t>
              <w:tab/>
              <w:t>128</w:t>
            </w:r>
          </w:hyperlink>
        </w:p>
        <w:p>
          <w:pPr>
            <w:pStyle w:val="TOC2"/>
            <w:tabs>
              <w:tab w:val="clear" w:pos="9355"/>
              <w:tab w:val="right" w:pos="9637" w:leader="dot"/>
            </w:tabs>
            <w:rPr/>
          </w:pPr>
          <w:hyperlink w:anchor="__RefHeading___Toc8873_528838595">
            <w:r>
              <w:rPr>
                <w:webHidden/>
                <w:rStyle w:val="IndexLink"/>
              </w:rPr>
              <w:t>Appendix G — Governance Proposal Template</w:t>
              <w:tab/>
              <w:t>129</w:t>
            </w:r>
          </w:hyperlink>
        </w:p>
        <w:p>
          <w:pPr>
            <w:pStyle w:val="TOC2"/>
            <w:tabs>
              <w:tab w:val="clear" w:pos="9355"/>
              <w:tab w:val="right" w:pos="9637" w:leader="dot"/>
            </w:tabs>
            <w:rPr/>
          </w:pPr>
          <w:hyperlink w:anchor="__RefHeading___Toc8875_528838595">
            <w:r>
              <w:rPr>
                <w:webHidden/>
                <w:rStyle w:val="IndexLink"/>
              </w:rPr>
              <w:t>Appendix H — Public API Reproduction Example</w:t>
              <w:tab/>
              <w:t>130</w:t>
            </w:r>
          </w:hyperlink>
        </w:p>
        <w:p>
          <w:pPr>
            <w:pStyle w:val="TOC2"/>
            <w:tabs>
              <w:tab w:val="clear" w:pos="9355"/>
              <w:tab w:val="right" w:pos="9637" w:leader="dot"/>
            </w:tabs>
            <w:rPr/>
          </w:pPr>
          <w:hyperlink w:anchor="__RefHeading___Toc8877_528838595">
            <w:r>
              <w:rPr>
                <w:webHidden/>
                <w:rStyle w:val="IndexLink"/>
              </w:rPr>
              <w:t>Appendix I — Comparison with Traditional Economic and Financial Measures</w:t>
              <w:tab/>
              <w:t>131</w:t>
            </w:r>
          </w:hyperlink>
        </w:p>
        <w:p>
          <w:pPr>
            <w:pStyle w:val="TOC2"/>
            <w:tabs>
              <w:tab w:val="clear" w:pos="9355"/>
              <w:tab w:val="right" w:pos="9637" w:leader="dot"/>
            </w:tabs>
            <w:rPr/>
          </w:pPr>
          <w:hyperlink w:anchor="__RefHeading___Toc8879_528838595">
            <w:r>
              <w:rPr>
                <w:webHidden/>
                <w:rStyle w:val="IndexLink"/>
              </w:rPr>
              <w:t>Appendix J — Glossary</w:t>
              <w:tab/>
              <w:t>132</w:t>
            </w:r>
          </w:hyperlink>
        </w:p>
        <w:p>
          <w:pPr>
            <w:pStyle w:val="TOC2"/>
            <w:tabs>
              <w:tab w:val="clear" w:pos="9355"/>
              <w:tab w:val="right" w:pos="9637" w:leader="dot"/>
            </w:tabs>
            <w:rPr/>
          </w:pPr>
          <w:hyperlink w:anchor="__RefHeading___Toc8881_528838595">
            <w:r>
              <w:rPr>
                <w:webHidden/>
                <w:rStyle w:val="IndexLink"/>
              </w:rPr>
              <w:t>Appendix K — References</w:t>
              <w:tab/>
              <w:t>134</w:t>
            </w:r>
          </w:hyperlink>
        </w:p>
        <w:p>
          <w:pPr>
            <w:pStyle w:val="TOC2"/>
            <w:tabs>
              <w:tab w:val="clear" w:pos="9355"/>
              <w:tab w:val="right" w:pos="9637" w:leader="dot"/>
            </w:tabs>
            <w:rPr/>
          </w:pPr>
          <w:hyperlink w:anchor="__RefHeading___Toc9883_2989533693">
            <w:r>
              <w:rPr>
                <w:webHidden/>
                <w:rStyle w:val="IndexLink"/>
              </w:rPr>
              <w:t>Appendix L — Edition Change Log</w:t>
              <w:tab/>
              <w:t>135</w:t>
            </w:r>
          </w:hyperlink>
          <w:r>
            <w:rPr>
              <w:rStyle w:val="IndexLink"/>
            </w:rPr>
            <w:fldChar w:fldCharType="end"/>
          </w:r>
        </w:p>
      </w:sdtContent>
    </w:sdt>
    <w:p>
      <w:pPr>
        <w:pStyle w:val="Heading1"/>
        <w:keepNext w:val="true"/>
        <w:keepLines/>
        <w:widowControl/>
        <w:numPr>
          <w:ilvl w:val="0"/>
          <w:numId w:val="0"/>
        </w:numPr>
        <w:pBdr>
          <w:bottom w:val="single" w:sz="6" w:space="5" w:color="8AB2BF"/>
        </w:pBdr>
        <w:ind w:hanging="0" w:left="0"/>
        <w:jc w:val="left"/>
        <w:outlineLvl w:val="0"/>
        <w:rPr/>
      </w:pPr>
      <w:bookmarkStart w:id="0" w:name="__RefHeading___Toc8147_528838595"/>
      <w:bookmarkEnd w:id="0"/>
      <w:r>
        <w:rPr/>
        <w:t>Publication Notice</w:t>
      </w:r>
    </w:p>
    <w:p>
      <w:pPr>
        <w:pStyle w:val="Normal"/>
        <w:rPr/>
      </w:pPr>
      <w:r>
        <w:t>Edition: 3.3 — Final Publication Edition</w:t>
      </w:r>
      <w:r>
        <w:br/>
        <w:t>Publication date: 16 October 2026</w:t>
      </w:r>
      <w:r>
        <w:br/>
        <w:t>Document status: Constitutional and technical specification for the Voxonomics research framework</w:t>
      </w:r>
    </w:p>
    <w:p>
      <w:pPr>
        <w:pStyle w:val="BodyText"/>
        <w:widowControl/>
        <w:rPr/>
      </w:pPr>
      <w:r>
        <w:rPr/>
        <w:t>Voxonomics is an open economic measurement concept for evaluating public blockchain networks using comparable, reproducible and governable data standards. This whitepaper defines the constitutional principles, measurement methodology, analytical outputs, governance architecture and staged implementation path of the framework.</w:t>
      </w:r>
    </w:p>
    <w:p>
      <w:pPr>
        <w:pStyle w:val="BodyText"/>
        <w:widowControl/>
        <w:rPr/>
      </w:pPr>
      <w:r>
        <w:rPr/>
        <w:t>This document is not an offer to sell securities, an investment recommendation, a guarantee of financial return, or a representation that any token, protocol, market or decentralised autonomous organisation described here is currently deployed. References to VOX assets and the VOX Digital Forex Market describe an optional future implementation layer that is subject to technical validation, independent audits, legal review, liquidity safeguards and decentralised governance approval.</w:t>
      </w:r>
    </w:p>
    <w:p>
      <w:pPr>
        <w:pStyle w:val="BodyText"/>
        <w:widowControl/>
        <w:rPr/>
      </w:pPr>
      <w:r>
        <w:t>The phrase final edition means that this document is the definitive Edition 3.3 statement of the framework. Edition 3.2 remains preserved as the prior Final Publication Edition. Edition 3.3 carries forward the Edition 3.2 economic constitution and technical architecture unchanged, while adding Macroeconomic Thesis and Scope Clarification. Any later amendment must be published with a complete change log, migration rules, impact analysis and preserved historical calculations.</w:t>
      </w:r>
    </w:p>
    <w:p>
      <w:pPr>
        <w:pStyle w:val="Heading1"/>
      </w:pPr>
      <w:bookmarkStart w:id="705" w:name="__RefHeading__Edition33Draft"/>
      <w:bookmarkEnd w:id="705"/>
      <w:r>
        <w:t>Edition 3.3 Change Statement</w:t>
      </w:r>
    </w:p>
    <w:p>
      <w:pPr>
        <w:pStyle w:val="Normal"/>
      </w:pPr>
      <w:r>
        <w:t>Edition 3.3 is limited to Macroeconomic Thesis and Scope Clarification. Edition 3.2 remains preserved as the prior Final Publication Edition. This edition does not authorise official scoring, collector changes, recalculation or evidence migration.</w:t>
      </w:r>
    </w:p>
    <w:p>
      <w:pPr>
        <w:pStyle w:val="BodyText"/>
      </w:pPr>
      <w:r>
        <w:t>The inherited Edition 3.2 economic constitution and technical architecture are carried forward unchanged. This includes PoV, OPI, DLI, PII, RWAI and ERI; all thirty canonical submetrics; equal one-sixth parent weights; VTS, ERU, VRI, Opportunity Gap, VRS and VCS mathematics; directionality, benchmark and missing-data rules; collector architecture; certification logic; evidence architecture; and Vox-in-a-Box architecture.</w:t>
      </w:r>
    </w:p>
    <w:p>
      <w:pPr>
        <w:pStyle w:val="BodyText"/>
      </w:pPr>
      <w:r>
        <w:t>Migration rule and impact analysis: no historical observation, calculation, benchmark, methodology identifier, adapter or runtime configuration changes because of this edition. No recalculation or evidence migration is required. References to Edition 3.1 or 3.2 inside inherited provisions identify their origin and remain applicable without modification. The new macroeconomic discussion supplies context, not an additional scoring rule, price deflator or calibration input.</w:t>
      </w:r>
    </w:p>
    <w:p>
      <w:pPr>
        <w:pStyle w:val="BodyText"/>
      </w:pPr>
      <w:r>
        <w:t>Change locations: the Abstract and Executive Summary additions; Sections 1.6–1.10; macroeconomic references M1–M6 in Appendix K; and the complete L.3 change record. Existing numbered chapters, appendices, tables, figures, reference numbering and technical cross-references retain their identities.</w:t>
      </w:r>
    </w:p>
    <w:p>
      <w:pPr>
        <w:pStyle w:val="Heading1"/>
        <w:rPr/>
      </w:pPr>
      <w:bookmarkStart w:id="1" w:name="__RefHeading___Toc9861_2989533693"/>
      <w:bookmarkEnd w:id="1"/>
      <w:r>
        <w:rPr/>
        <w:t>Edition 3.2 Change Statement</w:t>
      </w:r>
    </w:p>
    <w:p>
      <w:pPr>
        <w:pStyle w:val="Normal"/>
        <w:rPr/>
      </w:pPr>
      <w:r>
        <w:rPr/>
        <w:t>Edition 3.2 is an additive architecture edition. It does not replace or reinterpret the economic methodology defined in Edition 3.1. The six parent indices, their equal parent weighting, the thirty canonical submetrics, VTS construction, ERU, VRI, Opportunity Gap, VRS, VCS, normalisation, directionality, benchmark logic, missing-data rules and chain-agnostic measurement definitions are carried forward unchanged.</w:t>
      </w:r>
    </w:p>
    <w:p>
      <w:pPr>
        <w:pStyle w:val="BodyText"/>
        <w:rPr/>
      </w:pPr>
      <w:r>
        <w:rPr/>
        <w:t>Edition 3.2 formalises the infrastructure required to make the Edition 3.1 verifiability principle operational at scale: preservation of authoritative evidence, lifecycle governance, evidence retirement eligibility, reproducibility, distributed Vox-in-a-Box data/evidence nodes, replication and reconciliation, public-service security boundaries, and transparent disclosure of AI-assisted development.</w:t>
      </w:r>
    </w:p>
    <w:p>
      <w:pPr>
        <w:pStyle w:val="BodyText"/>
        <w:rPr/>
      </w:pPr>
      <w:r>
        <w:rPr/>
        <w:t>Migration rule: no Edition 3.1 economic score requires recalculation merely because Edition 3.2 is published. Historical Edition 3.1 results remain identifiable under their original methodology version. Edition 3.2 evidence-governance rules apply to new 3.2 publications and to historical evidence only when that evidence is migrated or repackaged into a 3.2-compliant representation.</w:t>
      </w:r>
    </w:p>
    <w:p>
      <w:pPr>
        <w:pStyle w:val="BodyText"/>
        <w:rPr/>
      </w:pPr>
      <w:r>
        <w:rPr/>
        <w:t>Impact analysis: Edition 3.2 changes evidence custody, storage, node and publication architecture; it does not change what the six economic indices mean or how the thirty canonical submetrics contribute to them. A difference between a 3.1 and 3.2 output must therefore arise from evidence, data, correction, benchmark state or another explicitly versioned cause—not from an undisclosed change to the economic constitution.</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Area</w:t>
            </w:r>
          </w:p>
        </w:tc>
        <w:tc>
          <w:tcPr>
            <w:tcW w:w="4818" w:type="dxa"/>
            <w:tcBorders/>
          </w:tcPr>
          <w:p>
            <w:pPr>
              <w:pStyle w:val="Normal"/>
              <w:widowControl/>
              <w:suppressAutoHyphens w:val="true"/>
              <w:bidi w:val="0"/>
              <w:spacing w:lineRule="auto" w:line="276" w:before="0" w:after="120"/>
              <w:jc w:val="left"/>
              <w:rPr/>
            </w:pPr>
            <w:r>
              <w:rPr>
                <w:b/>
              </w:rPr>
              <w:t>Edition 3.2 treatment</w:t>
            </w:r>
          </w:p>
        </w:tc>
      </w:tr>
      <w:tr>
        <w:trPr/>
        <w:tc>
          <w:tcPr>
            <w:tcW w:w="4819" w:type="dxa"/>
            <w:tcBorders/>
          </w:tcPr>
          <w:p>
            <w:pPr>
              <w:pStyle w:val="Normal"/>
              <w:widowControl/>
              <w:suppressAutoHyphens w:val="true"/>
              <w:bidi w:val="0"/>
              <w:spacing w:lineRule="auto" w:line="276" w:before="0" w:after="120"/>
              <w:jc w:val="left"/>
              <w:rPr/>
            </w:pPr>
            <w:r>
              <w:rPr/>
              <w:t>Six parent indices</w:t>
            </w:r>
          </w:p>
        </w:tc>
        <w:tc>
          <w:tcPr>
            <w:tcW w:w="4818" w:type="dxa"/>
            <w:tcBorders/>
          </w:tcPr>
          <w:p>
            <w:pPr>
              <w:pStyle w:val="Normal"/>
              <w:widowControl/>
              <w:suppressAutoHyphens w:val="true"/>
              <w:bidi w:val="0"/>
              <w:spacing w:lineRule="auto" w:line="276" w:before="0" w:after="120"/>
              <w:jc w:val="left"/>
              <w:rPr/>
            </w:pPr>
            <w:r>
              <w:rPr/>
              <w:t>Unchanged: PoV, OPI, DLI, PII, RWAI and ERI</w:t>
            </w:r>
          </w:p>
        </w:tc>
      </w:tr>
      <w:tr>
        <w:trPr/>
        <w:tc>
          <w:tcPr>
            <w:tcW w:w="4819" w:type="dxa"/>
            <w:tcBorders/>
          </w:tcPr>
          <w:p>
            <w:pPr>
              <w:pStyle w:val="Normal"/>
              <w:widowControl/>
              <w:suppressAutoHyphens w:val="true"/>
              <w:bidi w:val="0"/>
              <w:spacing w:lineRule="auto" w:line="276" w:before="0" w:after="120"/>
              <w:jc w:val="left"/>
              <w:rPr/>
            </w:pPr>
            <w:r>
              <w:rPr/>
              <w:t>Parent weighting</w:t>
            </w:r>
          </w:p>
        </w:tc>
        <w:tc>
          <w:tcPr>
            <w:tcW w:w="4818" w:type="dxa"/>
            <w:tcBorders/>
          </w:tcPr>
          <w:p>
            <w:pPr>
              <w:pStyle w:val="Normal"/>
              <w:widowControl/>
              <w:suppressAutoHyphens w:val="true"/>
              <w:bidi w:val="0"/>
              <w:spacing w:lineRule="auto" w:line="276" w:before="0" w:after="120"/>
              <w:jc w:val="left"/>
              <w:rPr/>
            </w:pPr>
            <w:r>
              <w:rPr/>
              <w:t>Unchanged: each parent receives one-sixth of core VTS</w:t>
            </w:r>
          </w:p>
        </w:tc>
      </w:tr>
      <w:tr>
        <w:trPr/>
        <w:tc>
          <w:tcPr>
            <w:tcW w:w="4819" w:type="dxa"/>
            <w:tcBorders/>
          </w:tcPr>
          <w:p>
            <w:pPr>
              <w:pStyle w:val="Normal"/>
              <w:widowControl/>
              <w:suppressAutoHyphens w:val="true"/>
              <w:bidi w:val="0"/>
              <w:spacing w:lineRule="auto" w:line="276" w:before="0" w:after="120"/>
              <w:jc w:val="left"/>
              <w:rPr/>
            </w:pPr>
            <w:r>
              <w:rPr/>
              <w:t>Thirty canonical submetrics</w:t>
            </w:r>
          </w:p>
        </w:tc>
        <w:tc>
          <w:tcPr>
            <w:tcW w:w="4818" w:type="dxa"/>
            <w:tcBorders/>
          </w:tcPr>
          <w:p>
            <w:pPr>
              <w:pStyle w:val="Normal"/>
              <w:widowControl/>
              <w:suppressAutoHyphens w:val="true"/>
              <w:bidi w:val="0"/>
              <w:spacing w:lineRule="auto" w:line="276" w:before="0" w:after="120"/>
              <w:jc w:val="left"/>
              <w:rPr/>
            </w:pPr>
            <w:r>
              <w:rPr/>
              <w:t>Unchanged</w:t>
            </w:r>
          </w:p>
        </w:tc>
      </w:tr>
      <w:tr>
        <w:trPr/>
        <w:tc>
          <w:tcPr>
            <w:tcW w:w="4819" w:type="dxa"/>
            <w:tcBorders/>
          </w:tcPr>
          <w:p>
            <w:pPr>
              <w:pStyle w:val="Normal"/>
              <w:widowControl/>
              <w:suppressAutoHyphens w:val="true"/>
              <w:bidi w:val="0"/>
              <w:spacing w:lineRule="auto" w:line="276" w:before="0" w:after="120"/>
              <w:jc w:val="left"/>
              <w:rPr/>
            </w:pPr>
            <w:r>
              <w:rPr/>
              <w:t>VTS / ERU / VRI / Opportunity Gap / VRS / VCS</w:t>
            </w:r>
          </w:p>
        </w:tc>
        <w:tc>
          <w:tcPr>
            <w:tcW w:w="4818" w:type="dxa"/>
            <w:tcBorders/>
          </w:tcPr>
          <w:p>
            <w:pPr>
              <w:pStyle w:val="Normal"/>
              <w:widowControl/>
              <w:suppressAutoHyphens w:val="true"/>
              <w:bidi w:val="0"/>
              <w:spacing w:lineRule="auto" w:line="276" w:before="0" w:after="120"/>
              <w:jc w:val="left"/>
              <w:rPr/>
            </w:pPr>
            <w:r>
              <w:rPr/>
              <w:t>Unchanged analytical methodology</w:t>
            </w:r>
          </w:p>
        </w:tc>
      </w:tr>
      <w:tr>
        <w:trPr/>
        <w:tc>
          <w:tcPr>
            <w:tcW w:w="4819" w:type="dxa"/>
            <w:tcBorders/>
          </w:tcPr>
          <w:p>
            <w:pPr>
              <w:pStyle w:val="Normal"/>
              <w:widowControl/>
              <w:suppressAutoHyphens w:val="true"/>
              <w:bidi w:val="0"/>
              <w:spacing w:lineRule="auto" w:line="276" w:before="0" w:after="120"/>
              <w:jc w:val="left"/>
              <w:rPr/>
            </w:pPr>
            <w:r>
              <w:rPr/>
              <w:t>Evidence architecture</w:t>
            </w:r>
          </w:p>
        </w:tc>
        <w:tc>
          <w:tcPr>
            <w:tcW w:w="4818" w:type="dxa"/>
            <w:tcBorders/>
          </w:tcPr>
          <w:p>
            <w:pPr>
              <w:pStyle w:val="Normal"/>
              <w:widowControl/>
              <w:suppressAutoHyphens w:val="true"/>
              <w:bidi w:val="0"/>
              <w:spacing w:lineRule="auto" w:line="276" w:before="0" w:after="120"/>
              <w:jc w:val="left"/>
              <w:rPr/>
            </w:pPr>
            <w:r>
              <w:rPr/>
              <w:t>Expanded and formalised</w:t>
            </w:r>
          </w:p>
        </w:tc>
      </w:tr>
      <w:tr>
        <w:trPr/>
        <w:tc>
          <w:tcPr>
            <w:tcW w:w="4819" w:type="dxa"/>
            <w:tcBorders/>
          </w:tcPr>
          <w:p>
            <w:pPr>
              <w:pStyle w:val="Normal"/>
              <w:widowControl/>
              <w:suppressAutoHyphens w:val="true"/>
              <w:bidi w:val="0"/>
              <w:spacing w:lineRule="auto" w:line="276" w:before="0" w:after="120"/>
              <w:jc w:val="left"/>
              <w:rPr/>
            </w:pPr>
            <w:r>
              <w:rPr/>
              <w:t>Vox-in-a-Box nodes</w:t>
            </w:r>
          </w:p>
        </w:tc>
        <w:tc>
          <w:tcPr>
            <w:tcW w:w="4818" w:type="dxa"/>
            <w:tcBorders/>
          </w:tcPr>
          <w:p>
            <w:pPr>
              <w:pStyle w:val="Normal"/>
              <w:widowControl/>
              <w:suppressAutoHyphens w:val="true"/>
              <w:bidi w:val="0"/>
              <w:spacing w:lineRule="auto" w:line="276" w:before="0" w:after="120"/>
              <w:jc w:val="left"/>
              <w:rPr/>
            </w:pPr>
            <w:r>
              <w:rPr/>
              <w:t>New distributed data/evidence-node architecture</w:t>
            </w:r>
          </w:p>
        </w:tc>
      </w:tr>
      <w:tr>
        <w:trPr/>
        <w:tc>
          <w:tcPr>
            <w:tcW w:w="4819" w:type="dxa"/>
            <w:tcBorders/>
          </w:tcPr>
          <w:p>
            <w:pPr>
              <w:pStyle w:val="Normal"/>
              <w:widowControl/>
              <w:suppressAutoHyphens w:val="true"/>
              <w:bidi w:val="0"/>
              <w:spacing w:lineRule="auto" w:line="276" w:before="0" w:after="120"/>
              <w:jc w:val="left"/>
              <w:rPr/>
            </w:pPr>
            <w:r>
              <w:rPr/>
              <w:t>Hosted public service</w:t>
            </w:r>
          </w:p>
        </w:tc>
        <w:tc>
          <w:tcPr>
            <w:tcW w:w="4818" w:type="dxa"/>
            <w:tcBorders/>
          </w:tcPr>
          <w:p>
            <w:pPr>
              <w:pStyle w:val="Normal"/>
              <w:widowControl/>
              <w:suppressAutoHyphens w:val="true"/>
              <w:bidi w:val="0"/>
              <w:spacing w:lineRule="auto" w:line="276" w:before="0" w:after="120"/>
              <w:jc w:val="left"/>
              <w:rPr/>
            </w:pPr>
            <w:r>
              <w:rPr/>
              <w:t>Read-only publication boundary formalised</w:t>
            </w:r>
          </w:p>
        </w:tc>
      </w:tr>
      <w:tr>
        <w:trPr/>
        <w:tc>
          <w:tcPr>
            <w:tcW w:w="4819" w:type="dxa"/>
            <w:tcBorders/>
          </w:tcPr>
          <w:p>
            <w:pPr>
              <w:pStyle w:val="Normal"/>
              <w:widowControl/>
              <w:suppressAutoHyphens w:val="true"/>
              <w:bidi w:val="0"/>
              <w:spacing w:lineRule="auto" w:line="276" w:before="0" w:after="120"/>
              <w:jc w:val="left"/>
              <w:rPr/>
            </w:pPr>
            <w:r>
              <w:rPr/>
              <w:t>AI-assisted development</w:t>
            </w:r>
          </w:p>
        </w:tc>
        <w:tc>
          <w:tcPr>
            <w:tcW w:w="4818" w:type="dxa"/>
            <w:tcBorders/>
          </w:tcPr>
          <w:p>
            <w:pPr>
              <w:pStyle w:val="Normal"/>
              <w:widowControl/>
              <w:suppressAutoHyphens w:val="true"/>
              <w:bidi w:val="0"/>
              <w:spacing w:lineRule="auto" w:line="276" w:before="0" w:after="120"/>
              <w:jc w:val="left"/>
              <w:rPr/>
            </w:pPr>
            <w:r>
              <w:rPr/>
              <w:t>Transparency and authority boundaries added</w:t>
            </w:r>
          </w:p>
        </w:tc>
      </w:tr>
    </w:tbl>
    <w:p>
      <w:pPr>
        <w:pStyle w:val="Heading1"/>
        <w:keepNext w:val="true"/>
        <w:keepLines/>
        <w:widowControl/>
        <w:numPr>
          <w:ilvl w:val="0"/>
          <w:numId w:val="0"/>
        </w:numPr>
        <w:pBdr>
          <w:bottom w:val="single" w:sz="6" w:space="5" w:color="8AB2BF"/>
        </w:pBdr>
        <w:ind w:hanging="0" w:left="0"/>
        <w:jc w:val="left"/>
        <w:outlineLvl w:val="0"/>
        <w:rPr/>
      </w:pPr>
      <w:bookmarkStart w:id="2" w:name="__RefHeading___Toc8149_528838595"/>
      <w:bookmarkEnd w:id="2"/>
      <w:r>
        <w:rPr/>
        <w:t>Abstract</w:t>
      </w:r>
    </w:p>
    <w:p>
      <w:pPr>
        <w:pStyle w:val="Normal"/>
        <w:rPr/>
      </w:pPr>
      <w:r>
        <w:rPr/>
        <w:t>Public blockchains increasingly function as digital economies. They coordinate participants, secure shared state, settle value, host applications, form liquid markets and support governance. Yet they are still compared primarily through token price, market capitalisation, narrative strength and short-term capital flows. These signals matter, but they do not provide a complete or neutral measurement of the economic system operating beneath the asset.</w:t>
      </w:r>
    </w:p>
    <w:p>
      <w:pPr>
        <w:pStyle w:val="BodyText"/>
        <w:widowControl/>
        <w:rPr/>
      </w:pPr>
      <w:r>
        <w:rPr/>
        <w:t xml:space="preserve">Voxonomics introduces a universal framework for measuring blockchain economies through six equally weighted indices: </w:t>
      </w:r>
      <w:r>
        <w:rPr>
          <w:b/>
          <w:bCs/>
        </w:rPr>
        <w:t>Proof of Value (PoV), On-Chain Participation Index (OPI), Decentralised Liquidity Index (DLI), Protocol Integrity Index (PII), Real-World Adoption Index (RWAI), and Economic Resilience Index (ERI)</w:t>
      </w:r>
      <w:r>
        <w:rPr/>
        <w:t>. Each index is built from canonical economic definitions, implemented through chain-specific data adapters, normalised using transparent benchmark rules, and accompanied by provenance and confidence data.</w:t>
      </w:r>
    </w:p>
    <w:p>
      <w:pPr>
        <w:pStyle w:val="BodyText"/>
        <w:widowControl/>
        <w:rPr/>
      </w:pPr>
      <w:r>
        <w:rPr/>
        <w:t xml:space="preserve">The six indices form the </w:t>
      </w:r>
      <w:r>
        <w:rPr>
          <w:b/>
          <w:bCs/>
        </w:rPr>
        <w:t>Value Transfer Score (VTS)</w:t>
      </w:r>
      <w:r>
        <w:rPr/>
        <w:t xml:space="preserve">. VTS measures intrinsic network economic performance; it is not a market-price forecast. A dynamic </w:t>
      </w:r>
      <w:r>
        <w:rPr>
          <w:b/>
          <w:bCs/>
        </w:rPr>
        <w:t>Economic Reference Unit (ERU)</w:t>
      </w:r>
      <w:r>
        <w:rPr/>
        <w:t xml:space="preserve"> converts the raw composite into a standardised scale centred on 1.000000, enabling comparisons through time while allowing exceptional networks to score above one. Separate analytical layers measure market recognition through the </w:t>
      </w:r>
      <w:r>
        <w:rPr>
          <w:b/>
          <w:bCs/>
        </w:rPr>
        <w:t>Value Recognition Index (VRI)</w:t>
      </w:r>
      <w:r>
        <w:rPr/>
        <w:t xml:space="preserve">, relative under- or over-recognition through the </w:t>
      </w:r>
      <w:r>
        <w:rPr>
          <w:b/>
          <w:bCs/>
        </w:rPr>
        <w:t>Opportunity Gap</w:t>
      </w:r>
      <w:r>
        <w:rPr/>
        <w:t xml:space="preserve">, aggregate structural risk through the </w:t>
      </w:r>
      <w:r>
        <w:rPr>
          <w:b/>
          <w:bCs/>
        </w:rPr>
        <w:t>VOX Risk Score (VRS)</w:t>
      </w:r>
      <w:r>
        <w:rPr/>
        <w:t xml:space="preserve">, and evidence quality through the </w:t>
      </w:r>
      <w:r>
        <w:rPr>
          <w:b/>
          <w:bCs/>
        </w:rPr>
        <w:t>VOX Confidence Score (VCS)</w:t>
      </w:r>
      <w:r>
        <w:rPr/>
        <w:t>.</w:t>
      </w:r>
    </w:p>
    <w:p>
      <w:pPr>
        <w:pStyle w:val="BodyText"/>
        <w:widowControl/>
        <w:rPr/>
      </w:pPr>
      <w:bookmarkStart w:id="3" w:name="abstract"/>
      <w:r>
        <w:rPr/>
        <w:t>The framework intentionally separates measurement from monetary implementation. Any public network can be measured without permission where sufficient verifiable data exists. Optional VOX units and V-FOREX markets may only be activated after confidence, audit, governance and market-safety thresholds are met. This separation prevents circular measurement, avoids unsupported claims of automatic market convergence, and preserves the primary purpose of Voxonomics: to establish a transparent economic language for decentralised networks.</w:t>
      </w:r>
      <w:bookmarkEnd w:id="3"/>
    </w:p>
    <w:p>
      <w:pPr>
        <w:pStyle w:val="BodyText"/>
        <w:rPr/>
      </w:pPr>
      <w:r>
        <w:rPr/>
        <w:t>Edition 3.2 extends that separation into evidence infrastructure. Every published Voxonomics value must remain traceable backwards to authoritative source evidence. Blockchain-derived measurements trace to preserved evidence tied to blocks, slots, transactions, logs, account state or equivalent network coordinates; authoritative external inputs trace to preserved source packages, ranges and retrieval provenance. The public dashboard and API are presentation and distribution surfaces, not the authority that creates or mutates canonical evidence.</w:t>
      </w:r>
    </w:p>
    <w:p>
      <w:pPr>
        <w:pStyle w:val="BodyText"/>
      </w:pPr>
      <w:r>
        <w:t>Monetary price is not identical to underlying economic value. Voxonomics aims to measure observable economic fundamentals from evidence, independently of treating the measured network token’s price as the verdict on its performance. Public blockchains are the first proving ground. Broader evidence-based value intelligence is a long-term ambition requiring separate canonical frameworks for other domains; it is not an expansion of VTS in this edition.</w:t>
      </w:r>
    </w:p>
    <w:p>
      <w:pPr>
        <w:pStyle w:val="Heading1"/>
        <w:keepNext w:val="true"/>
        <w:keepLines/>
        <w:widowControl/>
        <w:numPr>
          <w:ilvl w:val="0"/>
          <w:numId w:val="0"/>
        </w:numPr>
        <w:pBdr>
          <w:bottom w:val="single" w:sz="6" w:space="5" w:color="8AB2BF"/>
        </w:pBdr>
        <w:ind w:hanging="0" w:left="0"/>
        <w:jc w:val="left"/>
        <w:outlineLvl w:val="0"/>
        <w:rPr/>
      </w:pPr>
      <w:bookmarkStart w:id="4" w:name="__RefHeading___Toc8151_528838595"/>
      <w:bookmarkEnd w:id="4"/>
      <w:r>
        <w:rPr/>
        <w:t>Executive Summary</w:t>
      </w:r>
    </w:p>
    <w:p>
      <w:pPr>
        <w:pStyle w:val="Heading2"/>
        <w:keepNext w:val="true"/>
        <w:keepLines/>
        <w:widowControl/>
        <w:rPr/>
      </w:pPr>
      <w:bookmarkStart w:id="5" w:name="__RefHeading___Toc8153_528838595"/>
      <w:bookmarkEnd w:id="5"/>
      <w:r>
        <w:rPr/>
        <w:t>The problem</w:t>
      </w:r>
    </w:p>
    <w:p>
      <w:pPr>
        <w:pStyle w:val="Normal"/>
        <w:rPr/>
      </w:pPr>
      <w:r>
        <w:rPr/>
        <w:t>Blockchain networks have created transparent ledgers and programmable economic infrastructure, but the market lacks a shared standard for evaluating them as economies. Token price and market capitalisation measure what the market currently pays. Total value locked measures only one part of capital deployment. Transaction count can be inflated by low-value activity. Revenue can be cyclical or subsidised. Governance participation, decentralisation, liquidity quality, security, adoption and resilience are often examined separately and with incompatible definitions.</w:t>
      </w:r>
    </w:p>
    <w:p>
      <w:pPr>
        <w:pStyle w:val="BodyText"/>
        <w:widowControl/>
        <w:rPr/>
      </w:pPr>
      <w:bookmarkStart w:id="6" w:name="the-problem"/>
      <w:r>
        <w:rPr/>
        <w:t>The absence of a common framework produces three failures. First, fundamentally different networks are compared with incomplete indicators. Second, economic strength and market recognition are treated as the same thing. Third, the quality of the underlying evidence is rarely attached to the headline score.</w:t>
      </w:r>
      <w:bookmarkEnd w:id="6"/>
    </w:p>
    <w:p>
      <w:pPr>
        <w:pStyle w:val="Heading2"/>
        <w:keepNext w:val="true"/>
        <w:keepLines/>
        <w:widowControl/>
        <w:rPr/>
      </w:pPr>
      <w:bookmarkStart w:id="7" w:name="__RefHeading___Toc8155_528838595"/>
      <w:bookmarkStart w:id="8" w:name="the-solution"/>
      <w:bookmarkEnd w:id="7"/>
      <w:r>
        <w:rPr/>
        <w:t>The solution</w:t>
      </w:r>
    </w:p>
    <w:p>
      <w:pPr>
        <w:pStyle w:val="Normal"/>
        <w:rPr/>
      </w:pPr>
      <w:r>
        <w:rPr/>
        <w:t>Voxonomics defines one universal framework with six equally weighted economic indices: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Index</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Core question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PoV</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network producing verifiable and sustainable economic value?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OPI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Are participants actively using, securing, governing and developing the network?</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DLI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 value be exchanged at meaningful size without excessive concentration or slippage?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PII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protocol secure, decentralised, available and operationally reliable?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RWAI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network supporting verifiable real-world settlement, assets and use?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ERI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 the network retain function and recover through economic and technical stress?</w:t>
            </w:r>
          </w:p>
        </w:tc>
      </w:tr>
    </w:tbl>
    <w:p>
      <w:pPr>
        <w:pStyle w:val="BodyText"/>
        <w:widowControl/>
        <w:rPr/>
      </w:pPr>
      <w:r>
        <w:rPr/>
        <w:t>Each parent index is scored from 0 to 100. The six parent indices always receive equal weight under the Edition 3.1 constitution, and Edition 3.2 carries that rule forward unchanged:</w:t>
      </w:r>
    </w:p>
    <w:p>
      <w:pPr>
        <w:pStyle w:val="BodyText"/>
        <w:keepLines/>
        <w:spacing w:before="80" w:after="160"/>
        <w:jc w:val="center"/>
        <w:rPr/>
      </w:pPr>
      <w:r>
        <w:rPr/>
        <w:drawing>
          <wp:inline distT="0" distB="0" distL="0" distR="0">
            <wp:extent cx="3789045" cy="429895"/>
            <wp:effectExtent l="0" t="0" r="0" b="0"/>
            <wp:docPr id="1" name="Picture 4"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Equation&#10;VTS_{\mathrm{core}}=\frac{PoV+OPI+DLI+PII+RWAI+ERI}{600}"/>
                    <pic:cNvPicPr>
                      <a:picLocks noChangeAspect="1" noChangeArrowheads="1"/>
                    </pic:cNvPicPr>
                  </pic:nvPicPr>
                  <pic:blipFill>
                    <a:blip r:embed="rId2"/>
                    <a:stretch>
                      <a:fillRect/>
                    </a:stretch>
                  </pic:blipFill>
                  <pic:spPr bwMode="auto">
                    <a:xfrm>
                      <a:off x="0" y="0"/>
                      <a:ext cx="3789045" cy="429895"/>
                    </a:xfrm>
                    <a:prstGeom prst="rect">
                      <a:avLst/>
                    </a:prstGeom>
                    <a:noFill/>
                  </pic:spPr>
                </pic:pic>
              </a:graphicData>
            </a:graphic>
          </wp:inline>
        </w:drawing>
      </w:r>
    </w:p>
    <w:p>
      <w:pPr>
        <w:pStyle w:val="Normal"/>
        <w:rPr/>
      </w:pPr>
      <w:r>
        <w:rPr/>
        <w:t>The result is a raw intrinsic score between 0 and 1. It is then expressed relative to the dynamic Economic Reference Unit:</w:t>
      </w:r>
    </w:p>
    <w:p>
      <w:pPr>
        <w:pStyle w:val="BodyText"/>
        <w:keepLines/>
        <w:spacing w:before="80" w:after="160"/>
        <w:jc w:val="center"/>
        <w:rPr/>
      </w:pPr>
      <w:r>
        <w:rPr/>
        <w:drawing>
          <wp:inline distT="0" distB="0" distL="0" distR="0">
            <wp:extent cx="1508760" cy="554990"/>
            <wp:effectExtent l="0" t="0" r="0" b="0"/>
            <wp:docPr id="2" name="Picture 5" descr="Equation&#10;VTS=\frac{VTS_{\mathrm{core}}}{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Equation&#10;VTS=\frac{VTS_{\mathrm{core}}}{ERU_{\mathrm{core}}}"/>
                    <pic:cNvPicPr>
                      <a:picLocks noChangeAspect="1" noChangeArrowheads="1"/>
                    </pic:cNvPicPr>
                  </pic:nvPicPr>
                  <pic:blipFill>
                    <a:blip r:embed="rId3"/>
                    <a:stretch>
                      <a:fillRect/>
                    </a:stretch>
                  </pic:blipFill>
                  <pic:spPr bwMode="auto">
                    <a:xfrm>
                      <a:off x="0" y="0"/>
                      <a:ext cx="1508760" cy="554990"/>
                    </a:xfrm>
                    <a:prstGeom prst="rect">
                      <a:avLst/>
                    </a:prstGeom>
                    <a:noFill/>
                  </pic:spPr>
                </pic:pic>
              </a:graphicData>
            </a:graphic>
          </wp:inline>
        </w:drawing>
      </w:r>
    </w:p>
    <w:p>
      <w:pPr>
        <w:pStyle w:val="Normal"/>
        <w:rPr/>
      </w:pPr>
      <w:r>
        <w:rPr/>
        <w:t xml:space="preserve">The published ERU is displayed as </w:t>
      </w:r>
      <w:r>
        <w:rPr>
          <w:b/>
          <w:bCs/>
        </w:rPr>
        <w:t>1.000000</w:t>
      </w:r>
      <w:r>
        <w:rPr/>
        <w:t>. A VTS of 1.000000 means the network equals the current high-quality reference benchmark. A score below one indicates performance below the benchmark; a score above one indicates performance above it. VTS is not artificially capped at one.</w:t>
      </w:r>
      <w:bookmarkEnd w:id="8"/>
    </w:p>
    <w:p>
      <w:pPr>
        <w:pStyle w:val="Heading2"/>
        <w:keepNext w:val="true"/>
        <w:keepLines/>
        <w:widowControl/>
        <w:rPr/>
      </w:pPr>
      <w:bookmarkStart w:id="9" w:name="__RefHeading___Toc8157_528838595"/>
      <w:bookmarkEnd w:id="9"/>
      <w:r>
        <w:rPr/>
        <w:t>Separate analytical outputs</w:t>
      </w:r>
    </w:p>
    <w:p>
      <w:pPr>
        <w:pStyle w:val="Normal"/>
        <w:rPr/>
      </w:pPr>
      <w:r>
        <w:rPr/>
        <w:t>Voxonomics does not collapse all decisions into a single number.</w:t>
      </w:r>
    </w:p>
    <w:p>
      <w:pPr>
        <w:pStyle w:val="Compact"/>
        <w:widowControl/>
        <w:numPr>
          <w:ilvl w:val="0"/>
          <w:numId w:val="7"/>
        </w:numPr>
        <w:rPr/>
      </w:pPr>
      <w:r>
        <w:rPr>
          <w:b/>
          <w:bCs/>
        </w:rPr>
        <w:t>VRI</w:t>
      </w:r>
      <w:r>
        <w:rPr/>
        <w:t xml:space="preserve"> measures the degree to which market valuation recognises network fundamentals.</w:t>
      </w:r>
    </w:p>
    <w:p>
      <w:pPr>
        <w:pStyle w:val="Compact"/>
        <w:widowControl/>
        <w:numPr>
          <w:ilvl w:val="0"/>
          <w:numId w:val="7"/>
        </w:numPr>
        <w:rPr/>
      </w:pPr>
      <w:r>
        <w:rPr>
          <w:b/>
          <w:bCs/>
        </w:rPr>
        <w:t>Opportunity Gap</w:t>
      </w:r>
      <w:r>
        <w:rPr/>
        <w:t xml:space="preserve"> compares intrinsic measurement with market recognition.</w:t>
      </w:r>
    </w:p>
    <w:p>
      <w:pPr>
        <w:pStyle w:val="Compact"/>
        <w:widowControl/>
        <w:numPr>
          <w:ilvl w:val="0"/>
          <w:numId w:val="7"/>
        </w:numPr>
        <w:rPr/>
      </w:pPr>
      <w:r>
        <w:rPr>
          <w:b/>
          <w:bCs/>
        </w:rPr>
        <w:t>VRS</w:t>
      </w:r>
      <w:r>
        <w:rPr/>
        <w:t xml:space="preserve"> summarises structural and operational risk; higher values mean greater risk.</w:t>
      </w:r>
    </w:p>
    <w:p>
      <w:pPr>
        <w:pStyle w:val="Compact"/>
        <w:widowControl/>
        <w:numPr>
          <w:ilvl w:val="0"/>
          <w:numId w:val="7"/>
        </w:numPr>
        <w:rPr/>
      </w:pPr>
      <w:r>
        <w:rPr>
          <w:b/>
          <w:bCs/>
        </w:rPr>
        <w:t>VCS</w:t>
      </w:r>
      <w:r>
        <w:rPr/>
        <w:t xml:space="preserve"> measures data coverage, source reliability, adapter quality, freshness and model certainty; higher values mean greater confidence.</w:t>
      </w:r>
    </w:p>
    <w:p>
      <w:pPr>
        <w:pStyle w:val="Normal"/>
        <w:rPr/>
      </w:pPr>
      <w:bookmarkStart w:id="10" w:name="separate-analytical-outputs"/>
      <w:r>
        <w:rPr/>
        <w:t>The separation matters. A network can have strong fundamentals but high risk. It can be highly recognised by the market but weakly supported by measurable economic output. It can also appear attractive while having insufficient data quality for a reliable conclusion.</w:t>
      </w:r>
      <w:bookmarkEnd w:id="10"/>
    </w:p>
    <w:p>
      <w:pPr>
        <w:pStyle w:val="Heading2"/>
        <w:keepNext w:val="true"/>
        <w:keepLines/>
        <w:widowControl/>
        <w:rPr/>
      </w:pPr>
      <w:bookmarkStart w:id="11" w:name="__RefHeading___Toc8159_528838595"/>
      <w:bookmarkEnd w:id="11"/>
      <w:r>
        <w:rPr/>
        <w:t>Universal definitions, chain-specific adapters</w:t>
      </w:r>
    </w:p>
    <w:p>
      <w:pPr>
        <w:pStyle w:val="Normal"/>
        <w:rPr/>
      </w:pPr>
      <w:r>
        <w:rPr/>
        <w:t xml:space="preserve">Universal measurement does not require technically identical raw fields. Proof-of-work networks, proof-of-stake networks, rollups, application chains and modular networks secure and settle activity differently. Voxonomics therefore standardises the </w:t>
      </w:r>
      <w:r>
        <w:rPr>
          <w:b/>
          <w:bCs/>
        </w:rPr>
        <w:t>economic meaning</w:t>
      </w:r>
      <w:r>
        <w:rPr/>
        <w:t xml:space="preserve"> of each submetric while allowing audited adapters to map that meaning to each architecture.</w:t>
      </w:r>
    </w:p>
    <w:p>
      <w:pPr>
        <w:pStyle w:val="BodyText"/>
        <w:widowControl/>
        <w:rPr/>
      </w:pPr>
      <w:bookmarkStart w:id="12" w:name="Xf639d2fc82ec1994a8e7cefbcd7e848470fbfc6"/>
      <w:r>
        <w:rPr/>
        <w:t>For example, the universal concept of consensus concentration may be measured using mining-pool block share on a proof-of-work chain, stake-controlled block production on a proof-of-stake chain, or sequencer control and escape mechanisms on a rollup. The definition remains universal; the extraction method is architecture-specific and publicly documented.</w:t>
      </w:r>
      <w:bookmarkEnd w:id="12"/>
    </w:p>
    <w:p>
      <w:pPr>
        <w:pStyle w:val="Heading2"/>
        <w:rPr/>
      </w:pPr>
      <w:r>
        <w:rPr/>
        <w:t>Evidence preservation and Vox-in-a-Box nodes</w:t>
      </w:r>
    </w:p>
    <w:p>
      <w:pPr>
        <w:pStyle w:val="Normal"/>
        <w:rPr/>
      </w:pPr>
      <w:r>
        <w:rPr/>
        <w:t>Edition 3.2 makes preserved evidence part of the measurement architecture. A published number is never the end of the evidence chain: users must be able to move backwards from an output to the parent index, submetric, canonical measurement, observation, preserved evidence package and authoritative source coordinate or external source range that justified it.</w:t>
      </w:r>
    </w:p>
    <w:p>
      <w:pPr>
        <w:pStyle w:val="BodyText"/>
        <w:rPr/>
      </w:pPr>
      <w:r>
        <w:rPr/>
        <w:t>Vox-in-a-Box nodes are independently operable Voxonomics data/evidence nodes. They may collect, preserve, reproduce measurements, verify manifests, replicate difficult-to-reacquire evidence, sign publications and challenge results. They decentralise acquisition, custody, reproduction and publication resilience without decentralising the methodology itself: one governed, versioned universal standard remains canonical.</w:t>
      </w:r>
    </w:p>
    <w:p>
      <w:pPr>
        <w:pStyle w:val="Heading2"/>
        <w:keepNext w:val="true"/>
        <w:keepLines/>
        <w:widowControl/>
        <w:rPr/>
      </w:pPr>
      <w:bookmarkStart w:id="13" w:name="__RefHeading___Toc8161_528838595"/>
      <w:bookmarkStart w:id="14" w:name="measurement-before-tokenisation"/>
      <w:bookmarkEnd w:id="13"/>
      <w:r>
        <w:rPr/>
        <w:t>Measurement before tokenisation</w:t>
      </w:r>
    </w:p>
    <w:p>
      <w:pPr>
        <w:pStyle w:val="Normal"/>
        <w:rPr/>
      </w:pPr>
      <w:r>
        <w:rPr/>
        <w:t>The measurement system is independently useful. It can support researchers, investors, developers, institutions, communities and policy analysts without issuing a VOX token.</w:t>
      </w:r>
    </w:p>
    <w:p>
      <w:pPr>
        <w:pStyle w:val="BodyText"/>
        <w:widowControl/>
        <w:rPr/>
      </w:pPr>
      <w:r>
        <w:rPr/>
        <w:t xml:space="preserve">VOX units and V-FOREX are optional implementation layers. Their activation requires high confidence, independent audits, an explicit issuance and contraction mechanism, sufficient liquidity, bridge and settlement security, legal review, and governance approval. V-FOREX publishes a transparent VTS-derived </w:t>
      </w:r>
      <w:r>
        <w:rPr>
          <w:b/>
          <w:bCs/>
        </w:rPr>
        <w:t>reference rate</w:t>
      </w:r>
      <w:r>
        <w:rPr/>
        <w:t>, but does not claim that an unconstrained market price must automatically converge to that rate.</w:t>
      </w:r>
      <w:bookmarkEnd w:id="14"/>
    </w:p>
    <w:p>
      <w:pPr>
        <w:pStyle w:val="Heading2"/>
        <w:keepNext w:val="true"/>
        <w:keepLines/>
        <w:widowControl/>
        <w:rPr/>
      </w:pPr>
      <w:bookmarkStart w:id="15" w:name="__RefHeading___Toc8163_528838595"/>
      <w:bookmarkEnd w:id="15"/>
      <w:r>
        <w:rPr/>
        <w:t>Governance</w:t>
      </w:r>
    </w:p>
    <w:p>
      <w:pPr>
        <w:pStyle w:val="Normal"/>
        <w:rPr/>
      </w:pPr>
      <w:r>
        <w:rPr/>
        <w:t>One VOX DAO governs the measurement standard. The DAO governs definitions, approved submetrics, data standards, adapter certification, benchmark methodology, confidence thresholds, versioning, disputes and future upgrades. The Edition 3.1 constitutional restrictions remain in force in Edition 3.2. The DAO cannot:</w:t>
      </w:r>
    </w:p>
    <w:p>
      <w:pPr>
        <w:pStyle w:val="Compact"/>
        <w:widowControl/>
        <w:numPr>
          <w:ilvl w:val="0"/>
          <w:numId w:val="787"/>
        </w:numPr>
        <w:rPr/>
      </w:pPr>
      <w:r>
        <w:rPr/>
        <w:t>change the equal weighting of the six parent VTS indices;</w:t>
      </w:r>
    </w:p>
    <w:p>
      <w:pPr>
        <w:pStyle w:val="Compact"/>
        <w:widowControl/>
        <w:numPr>
          <w:ilvl w:val="0"/>
          <w:numId w:val="788"/>
        </w:numPr>
        <w:rPr/>
      </w:pPr>
      <w:r>
        <w:rPr/>
        <w:t>create chain-specific favourable rules;</w:t>
      </w:r>
    </w:p>
    <w:p>
      <w:pPr>
        <w:pStyle w:val="Compact"/>
        <w:widowControl/>
        <w:numPr>
          <w:ilvl w:val="0"/>
          <w:numId w:val="789"/>
        </w:numPr>
        <w:rPr/>
      </w:pPr>
      <w:r>
        <w:rPr/>
        <w:t>alter historical scores retroactively;</w:t>
      </w:r>
    </w:p>
    <w:p>
      <w:pPr>
        <w:pStyle w:val="Compact"/>
        <w:widowControl/>
        <w:numPr>
          <w:ilvl w:val="0"/>
          <w:numId w:val="790"/>
        </w:numPr>
        <w:rPr/>
      </w:pPr>
      <w:r>
        <w:rPr/>
        <w:t>conceal source data or calculation logic;</w:t>
      </w:r>
    </w:p>
    <w:p>
      <w:pPr>
        <w:pStyle w:val="Compact"/>
        <w:widowControl/>
        <w:numPr>
          <w:ilvl w:val="0"/>
          <w:numId w:val="791"/>
        </w:numPr>
        <w:rPr/>
      </w:pPr>
      <w:r>
        <w:rPr/>
        <w:t>permit a chain to calculate its own special version of VTS.</w:t>
      </w:r>
    </w:p>
    <w:p>
      <w:pPr>
        <w:pStyle w:val="Normal"/>
        <w:rPr/>
      </w:pPr>
      <w:bookmarkStart w:id="16" w:name="governance"/>
      <w:r>
        <w:rPr/>
        <w:t>Public chains do not require DAO permission to be observed. The DAO certifies whether an adapter and publication meet the standard; it does not grant a network the right to be measured.</w:t>
      </w:r>
      <w:bookmarkEnd w:id="16"/>
    </w:p>
    <w:p>
      <w:pPr>
        <w:pStyle w:val="Heading2"/>
        <w:keepNext w:val="true"/>
        <w:keepLines/>
        <w:widowControl/>
        <w:rPr/>
      </w:pPr>
      <w:bookmarkStart w:id="17" w:name="__RefHeading___Toc8165_528838595"/>
      <w:bookmarkEnd w:id="17"/>
      <w:r>
        <w:rPr/>
        <w:t>Purpose</w:t>
      </w:r>
    </w:p>
    <w:p>
      <w:pPr>
        <w:pStyle w:val="Normal"/>
        <w:rPr/>
      </w:pPr>
      <w:r>
        <w:rPr/>
        <w:t>Voxonomics is not presented as perfect economic truth. It is a transparent, reproducible model that converts public evidence into a common language. Its purpose is to improve comparison, expose assumptions, separate fundamentals from recognition, and create a foundation for decentralised macroeconomic analysis.</w:t>
      </w:r>
    </w:p>
    <w:p>
      <w:pPr>
        <w:pStyle w:val="Normal"/>
        <w:rPr/>
      </w:pPr>
      <w:bookmarkStart w:id="18" w:name="purpose"/>
      <w:bookmarkStart w:id="19" w:name="executive-summary"/>
      <w:r>
        <w:rPr>
          <w:b/>
          <w:bCs/>
        </w:rPr>
        <w:t>Value should reflect verifiable economic reality, and every published score should show the evidence, assumptions and uncertainty behind it.</w:t>
      </w:r>
      <w:bookmarkEnd w:id="18"/>
      <w:bookmarkEnd w:id="19"/>
      <w:r>
        <w:br w:type="page"/>
      </w:r>
    </w:p>
    <w:p>
      <w:pPr>
        <w:pStyle w:val="Heading2"/>
      </w:pPr>
      <w:r>
        <w:t>Macroeconomic context and scope</w:t>
      </w:r>
    </w:p>
    <w:p>
      <w:pPr>
        <w:pStyle w:val="Normal"/>
      </w:pPr>
      <w:r>
        <w:t>Monetary price is not identical to underlying economic value. Voxonomics aims to measure observable economic fundamentals from evidence, independently of treating the measured network token’s price as the verdict on its performance. Public blockchains are the first proving ground. Broader evidence-based value intelligence is a long-term ambition requiring separate canonical frameworks for other domains; it is not an expansion of VTS in this edition.</w:t>
      </w:r>
    </w:p>
    <w:p>
      <w:pPr>
        <w:pStyle w:val="BodyText"/>
      </w:pPr>
      <w:r>
        <w:t>Sections 1.6–1.10 distinguish value, price, wealth, money, currency, credit, debt, purchasing power, nominal change, real change and market recognition. These explanations do not change any score, benchmark, evidence requirement or technical architecture.</w:t>
      </w:r>
    </w:p>
    <w:p>
      <w:pPr>
        <w:pStyle w:val="PartTitle"/>
        <w:spacing w:before="0" w:after="360"/>
        <w:rPr/>
      </w:pPr>
      <w:bookmarkStart w:id="20" w:name="__RefHeading___Toc8167_528838595"/>
      <w:bookmarkStart w:id="21" w:name="part-i-foundations"/>
      <w:bookmarkEnd w:id="20"/>
      <w:r>
        <w:rPr/>
        <w:t>Part I — Foundations</w:t>
      </w:r>
      <w:bookmarkEnd w:id="21"/>
    </w:p>
    <w:p>
      <w:pPr>
        <w:pStyle w:val="Heading1"/>
        <w:keepNext w:val="true"/>
        <w:keepLines/>
        <w:widowControl/>
        <w:pBdr>
          <w:bottom w:val="single" w:sz="6" w:space="5" w:color="8AB2BF"/>
        </w:pBdr>
        <w:jc w:val="left"/>
        <w:rPr/>
      </w:pPr>
      <w:bookmarkStart w:id="22" w:name="__RefHeading___Toc8169_528838595"/>
      <w:bookmarkEnd w:id="22"/>
      <w:r>
        <w:rPr/>
        <w:t>1. Introduction</w:t>
      </w:r>
    </w:p>
    <w:p>
      <w:pPr>
        <w:pStyle w:val="Heading2"/>
        <w:keepNext w:val="true"/>
        <w:keepLines/>
        <w:widowControl/>
        <w:rPr/>
      </w:pPr>
      <w:bookmarkStart w:id="23" w:name="__RefHeading___Toc8171_528838595"/>
      <w:bookmarkEnd w:id="23"/>
      <w:r>
        <w:rPr/>
        <w:t>1.1 The economic layer missing from blockchain</w:t>
      </w:r>
    </w:p>
    <w:p>
      <w:pPr>
        <w:pStyle w:val="Normal"/>
        <w:rPr/>
      </w:pPr>
      <w:r>
        <w:rPr/>
        <w:t>Blockchains solved an important coordination problem: independent participants can agree on a shared transaction history without relying on a single database administrator. Bitcoin demonstrated peer-to-peer digital settlement secured by consensus rules [1]. Ethereum extended that model into a programmable state machine capable of executing general-purpose contracts [2]. Subsequent networks introduced different approaches to throughput, execution, interoperability, data availability and application-specific design.</w:t>
      </w:r>
    </w:p>
    <w:p>
      <w:pPr>
        <w:pStyle w:val="BodyText"/>
        <w:widowControl/>
        <w:rPr/>
      </w:pPr>
      <w:r>
        <w:rPr/>
        <w:t>The technology matured faster than its economic measurement. Public dashboards now expose price, supply, market capitalisation, total value locked, fees, revenue, user activity and liquidity. These metrics are valuable, but they do not form a coherent standard. Definitions vary by provider, chains are measured with incompatible assumptions, and short-term market values are frequently mistaken for long-term economic strength.</w:t>
      </w:r>
    </w:p>
    <w:p>
      <w:pPr>
        <w:pStyle w:val="BodyText"/>
        <w:widowControl/>
        <w:rPr/>
      </w:pPr>
      <w:r>
        <w:rPr/>
        <w:t>A mature economic system needs more than a price. National economies are assessed through multiple indicators, including output, participation, financial depth, institutional quality, adoption, stability and resilience. Blockchains require an equivalent framework designed for their own architecture rather than a direct copy of nation-state statistics.</w:t>
      </w:r>
    </w:p>
    <w:p>
      <w:pPr>
        <w:pStyle w:val="BodyText"/>
        <w:widowControl/>
        <w:rPr/>
      </w:pPr>
      <w:bookmarkStart w:id="24" w:name="X767768ebdbcdae03a0e0a7d8c49a3c010fb4241"/>
      <w:r>
        <w:rPr/>
        <w:t>Voxonomics supplies that missing layer. It measures networks as economic systems using a transparent standard that can be reproduced from public data.</w:t>
      </w:r>
      <w:bookmarkEnd w:id="24"/>
    </w:p>
    <w:p>
      <w:pPr>
        <w:pStyle w:val="Heading2"/>
        <w:keepNext w:val="true"/>
        <w:keepLines/>
        <w:widowControl/>
        <w:rPr/>
      </w:pPr>
      <w:bookmarkStart w:id="25" w:name="__RefHeading___Toc8173_528838595"/>
      <w:bookmarkEnd w:id="25"/>
      <w:r>
        <w:rPr/>
        <w:t>1.2 Emotional money and narrative markets</w:t>
      </w:r>
    </w:p>
    <w:p>
      <w:pPr>
        <w:pStyle w:val="Normal"/>
        <w:rPr/>
      </w:pPr>
      <w:r>
        <w:rPr/>
        <w:t>All markets contain expectations. Price represents an agreement between buyers and sellers at a moment in time, and that agreement incorporates liquidity, leverage, risk tolerance, narratives, regulation and macroeconomic conditions. Crypto markets amplify these forces because assets trade continuously, leverage is widely available, liquidity is fragmented and technological change is rapid.</w:t>
      </w:r>
    </w:p>
    <w:p>
      <w:pPr>
        <w:pStyle w:val="BodyText"/>
        <w:widowControl/>
        <w:rPr/>
      </w:pPr>
      <w:r>
        <w:rPr/>
        <w:t>The problem is not that market price is useless. The problem is that market price is frequently treated as a complete economic verdict. A strong narrative can increase valuation before measurable adoption exists. A liquidity contraction can depress valuation even when network activity remains healthy. Incentive programmes can temporarily inflate users, volume or total value locked. Token issuance can create nominal growth without real value capture.</w:t>
      </w:r>
    </w:p>
    <w:p>
      <w:pPr>
        <w:pStyle w:val="BodyText"/>
        <w:widowControl/>
        <w:rPr/>
      </w:pPr>
      <w:bookmarkStart w:id="26" w:name="emotional-money-and-narrative-markets"/>
      <w:r>
        <w:rPr/>
        <w:t>Voxonomics does not attempt to eliminate markets or emotion. It creates an independent measurement layer so that market recognition can be compared with observable fundamentals rather than substituted for them.</w:t>
      </w:r>
      <w:bookmarkEnd w:id="26"/>
    </w:p>
    <w:p>
      <w:pPr>
        <w:pStyle w:val="Heading2"/>
        <w:keepNext w:val="true"/>
        <w:keepLines/>
        <w:widowControl/>
        <w:rPr/>
      </w:pPr>
      <w:bookmarkStart w:id="27" w:name="__RefHeading___Toc8175_528838595"/>
      <w:bookmarkEnd w:id="27"/>
      <w:r>
        <w:rPr/>
        <w:t>1.3 Networks as digital economies</w:t>
      </w:r>
    </w:p>
    <w:p>
      <w:pPr>
        <w:pStyle w:val="Normal"/>
        <w:rPr/>
      </w:pPr>
      <w:r>
        <w:rPr/>
        <w:t>A public blockchain can be analysed as a digital economy because it contains identifiable economic functions:</w:t>
      </w:r>
    </w:p>
    <w:p>
      <w:pPr>
        <w:pStyle w:val="Compact"/>
        <w:widowControl/>
        <w:numPr>
          <w:ilvl w:val="0"/>
          <w:numId w:val="792"/>
        </w:numPr>
        <w:rPr/>
      </w:pPr>
      <w:r>
        <w:rPr>
          <w:b/>
          <w:bCs/>
        </w:rPr>
        <w:t>participants</w:t>
      </w:r>
      <w:r>
        <w:rPr/>
        <w:t xml:space="preserve"> who transact, hold assets, govern, validate and develop;</w:t>
      </w:r>
    </w:p>
    <w:p>
      <w:pPr>
        <w:pStyle w:val="Compact"/>
        <w:widowControl/>
        <w:numPr>
          <w:ilvl w:val="0"/>
          <w:numId w:val="793"/>
        </w:numPr>
        <w:rPr/>
      </w:pPr>
      <w:r>
        <w:rPr>
          <w:b/>
          <w:bCs/>
        </w:rPr>
        <w:t>productive infrastructure</w:t>
      </w:r>
      <w:r>
        <w:rPr/>
        <w:t xml:space="preserve"> including consensus, execution, data availability and applications;</w:t>
      </w:r>
    </w:p>
    <w:p>
      <w:pPr>
        <w:pStyle w:val="Compact"/>
        <w:widowControl/>
        <w:numPr>
          <w:ilvl w:val="0"/>
          <w:numId w:val="794"/>
        </w:numPr>
        <w:rPr/>
      </w:pPr>
      <w:r>
        <w:rPr>
          <w:b/>
          <w:bCs/>
        </w:rPr>
        <w:t>economic output</w:t>
      </w:r>
      <w:r>
        <w:rPr/>
        <w:t xml:space="preserve"> expressed through settlement, fees, revenue and services;</w:t>
      </w:r>
    </w:p>
    <w:p>
      <w:pPr>
        <w:pStyle w:val="Compact"/>
        <w:widowControl/>
        <w:numPr>
          <w:ilvl w:val="0"/>
          <w:numId w:val="795"/>
        </w:numPr>
        <w:rPr/>
      </w:pPr>
      <w:r>
        <w:rPr>
          <w:b/>
          <w:bCs/>
        </w:rPr>
        <w:t>capital markets</w:t>
      </w:r>
      <w:r>
        <w:rPr/>
        <w:t xml:space="preserve"> expressed through exchanges, lending, derivatives and liquidity pools;</w:t>
      </w:r>
    </w:p>
    <w:p>
      <w:pPr>
        <w:pStyle w:val="Compact"/>
        <w:widowControl/>
        <w:numPr>
          <w:ilvl w:val="0"/>
          <w:numId w:val="796"/>
        </w:numPr>
        <w:rPr/>
      </w:pPr>
      <w:r>
        <w:rPr>
          <w:b/>
          <w:bCs/>
        </w:rPr>
        <w:t>institutional rules</w:t>
      </w:r>
      <w:r>
        <w:rPr/>
        <w:t xml:space="preserve"> encoded in protocol logic, governance and social coordination;</w:t>
      </w:r>
    </w:p>
    <w:p>
      <w:pPr>
        <w:pStyle w:val="Compact"/>
        <w:widowControl/>
        <w:numPr>
          <w:ilvl w:val="0"/>
          <w:numId w:val="797"/>
        </w:numPr>
        <w:rPr/>
      </w:pPr>
      <w:r>
        <w:rPr>
          <w:b/>
          <w:bCs/>
        </w:rPr>
        <w:t>external trade</w:t>
      </w:r>
      <w:r>
        <w:rPr/>
        <w:t xml:space="preserve"> through bridges, messaging systems, stablecoins and cross-chain flows;</w:t>
      </w:r>
    </w:p>
    <w:p>
      <w:pPr>
        <w:pStyle w:val="Compact"/>
        <w:widowControl/>
        <w:numPr>
          <w:ilvl w:val="0"/>
          <w:numId w:val="798"/>
        </w:numPr>
        <w:rPr/>
      </w:pPr>
      <w:r>
        <w:rPr>
          <w:b/>
          <w:bCs/>
        </w:rPr>
        <w:t>public goods</w:t>
      </w:r>
      <w:r>
        <w:rPr/>
        <w:t xml:space="preserve"> including security, open data, composability and shared infrastructure.</w:t>
      </w:r>
    </w:p>
    <w:p>
      <w:pPr>
        <w:pStyle w:val="Normal"/>
        <w:rPr/>
      </w:pPr>
      <w:bookmarkStart w:id="28" w:name="networks-as-digital-economies"/>
      <w:r>
        <w:rPr/>
        <w:t>The analogy to a nation is useful but limited. A blockchain has no necessary territory, population citizenship or sovereign legal authority. Its participants may use multiple networks simultaneously. Nevertheless, the network performs enough economic functions to justify a dedicated measurement framework.</w:t>
      </w:r>
      <w:bookmarkEnd w:id="28"/>
    </w:p>
    <w:p>
      <w:pPr>
        <w:pStyle w:val="Heading2"/>
        <w:keepNext w:val="true"/>
        <w:keepLines/>
        <w:widowControl/>
        <w:rPr/>
      </w:pPr>
      <w:bookmarkStart w:id="29" w:name="__RefHeading___Toc8177_528838595"/>
      <w:bookmarkEnd w:id="29"/>
      <w:r>
        <w:rPr/>
        <w:t>1.4 Scope of the framework</w:t>
      </w:r>
    </w:p>
    <w:p>
      <w:pPr>
        <w:pStyle w:val="Normal"/>
        <w:rPr/>
      </w:pPr>
      <w:r>
        <w:rPr/>
        <w:t>Voxonomics measures public, observable blockchain networks and major execution environments. It is designed to cover:</w:t>
      </w:r>
    </w:p>
    <w:p>
      <w:pPr>
        <w:pStyle w:val="Compact"/>
        <w:widowControl/>
        <w:numPr>
          <w:ilvl w:val="0"/>
          <w:numId w:val="799"/>
        </w:numPr>
        <w:rPr/>
      </w:pPr>
      <w:r>
        <w:rPr/>
        <w:t>proof-of-work and proof-of-stake base layers;</w:t>
      </w:r>
    </w:p>
    <w:p>
      <w:pPr>
        <w:pStyle w:val="Compact"/>
        <w:widowControl/>
        <w:numPr>
          <w:ilvl w:val="0"/>
          <w:numId w:val="800"/>
        </w:numPr>
        <w:rPr/>
      </w:pPr>
      <w:r>
        <w:rPr/>
        <w:t>smart-contract platforms;</w:t>
      </w:r>
    </w:p>
    <w:p>
      <w:pPr>
        <w:pStyle w:val="Compact"/>
        <w:widowControl/>
        <w:numPr>
          <w:ilvl w:val="0"/>
          <w:numId w:val="801"/>
        </w:numPr>
        <w:rPr/>
      </w:pPr>
      <w:r>
        <w:rPr/>
        <w:t>rollups and other layer-two systems;</w:t>
      </w:r>
    </w:p>
    <w:p>
      <w:pPr>
        <w:pStyle w:val="Compact"/>
        <w:widowControl/>
        <w:numPr>
          <w:ilvl w:val="0"/>
          <w:numId w:val="802"/>
        </w:numPr>
        <w:rPr/>
      </w:pPr>
      <w:r>
        <w:rPr/>
        <w:t>application-specific chains;</w:t>
      </w:r>
    </w:p>
    <w:p>
      <w:pPr>
        <w:pStyle w:val="Compact"/>
        <w:widowControl/>
        <w:numPr>
          <w:ilvl w:val="0"/>
          <w:numId w:val="803"/>
        </w:numPr>
        <w:rPr/>
      </w:pPr>
      <w:r>
        <w:rPr/>
        <w:t>modular execution, settlement and data-availability networks;</w:t>
      </w:r>
    </w:p>
    <w:p>
      <w:pPr>
        <w:pStyle w:val="Compact"/>
        <w:widowControl/>
        <w:numPr>
          <w:ilvl w:val="0"/>
          <w:numId w:val="804"/>
        </w:numPr>
        <w:rPr/>
      </w:pPr>
      <w:r>
        <w:rPr/>
        <w:t>interoperable zones and subnetworks;</w:t>
      </w:r>
    </w:p>
    <w:p>
      <w:pPr>
        <w:pStyle w:val="Compact"/>
        <w:widowControl/>
        <w:numPr>
          <w:ilvl w:val="0"/>
          <w:numId w:val="805"/>
        </w:numPr>
        <w:rPr/>
      </w:pPr>
      <w:r>
        <w:rPr/>
        <w:t>future architectures that expose sufficient public evidence.</w:t>
      </w:r>
    </w:p>
    <w:p>
      <w:pPr>
        <w:pStyle w:val="Normal"/>
        <w:rPr/>
      </w:pPr>
      <w:bookmarkStart w:id="30" w:name="scope-of-the-framework"/>
      <w:r>
        <w:rPr/>
        <w:t>The framework does not assume that every chain performs every function. A payments network, a settlement network and an application chain may have different economic profiles. The framework therefore measures capability and observed performance without requiring identical business models.</w:t>
      </w:r>
      <w:bookmarkEnd w:id="30"/>
    </w:p>
    <w:p>
      <w:pPr>
        <w:pStyle w:val="Heading2"/>
        <w:keepNext w:val="true"/>
        <w:keepLines/>
        <w:widowControl/>
        <w:rPr/>
      </w:pPr>
      <w:bookmarkStart w:id="31" w:name="__RefHeading___Toc8179_528838595"/>
      <w:bookmarkEnd w:id="31"/>
      <w:r>
        <w:rPr/>
        <w:t>1.5 What Voxonomics is not</w:t>
      </w:r>
    </w:p>
    <w:p>
      <w:pPr>
        <w:pStyle w:val="Normal"/>
        <w:rPr/>
      </w:pPr>
      <w:r>
        <w:rPr/>
        <w:t>Voxonomics is not:</w:t>
      </w:r>
    </w:p>
    <w:p>
      <w:pPr>
        <w:pStyle w:val="Compact"/>
        <w:widowControl/>
        <w:numPr>
          <w:ilvl w:val="0"/>
          <w:numId w:val="806"/>
        </w:numPr>
        <w:rPr/>
      </w:pPr>
      <w:r>
        <w:rPr/>
        <w:t>a guaranteed valuation model;</w:t>
      </w:r>
    </w:p>
    <w:p>
      <w:pPr>
        <w:pStyle w:val="Compact"/>
        <w:widowControl/>
        <w:numPr>
          <w:ilvl w:val="0"/>
          <w:numId w:val="807"/>
        </w:numPr>
        <w:rPr/>
      </w:pPr>
      <w:r>
        <w:rPr/>
        <w:t>a trading signal in isolation;</w:t>
      </w:r>
    </w:p>
    <w:p>
      <w:pPr>
        <w:pStyle w:val="Compact"/>
        <w:widowControl/>
        <w:numPr>
          <w:ilvl w:val="0"/>
          <w:numId w:val="808"/>
        </w:numPr>
        <w:rPr/>
      </w:pPr>
      <w:r>
        <w:rPr/>
        <w:t>a credit rating issued by a central agency;</w:t>
      </w:r>
    </w:p>
    <w:p>
      <w:pPr>
        <w:pStyle w:val="Compact"/>
        <w:widowControl/>
        <w:numPr>
          <w:ilvl w:val="0"/>
          <w:numId w:val="809"/>
        </w:numPr>
        <w:rPr/>
      </w:pPr>
      <w:r>
        <w:rPr/>
        <w:t>a claim that on-chain data is automatically complete or unbiased;</w:t>
      </w:r>
    </w:p>
    <w:p>
      <w:pPr>
        <w:pStyle w:val="Compact"/>
        <w:widowControl/>
        <w:numPr>
          <w:ilvl w:val="0"/>
          <w:numId w:val="810"/>
        </w:numPr>
        <w:rPr/>
      </w:pPr>
      <w:r>
        <w:rPr/>
        <w:t>a stablecoin design;</w:t>
      </w:r>
    </w:p>
    <w:p>
      <w:pPr>
        <w:pStyle w:val="Compact"/>
        <w:widowControl/>
        <w:numPr>
          <w:ilvl w:val="0"/>
          <w:numId w:val="811"/>
        </w:numPr>
        <w:rPr/>
      </w:pPr>
      <w:r>
        <w:rPr/>
        <w:t>a requirement that networks alter their consensus rules;</w:t>
      </w:r>
    </w:p>
    <w:p>
      <w:pPr>
        <w:pStyle w:val="Compact"/>
        <w:widowControl/>
        <w:numPr>
          <w:ilvl w:val="0"/>
          <w:numId w:val="812"/>
        </w:numPr>
        <w:rPr/>
      </w:pPr>
      <w:r>
        <w:rPr/>
        <w:t>a permissioned membership club;</w:t>
      </w:r>
    </w:p>
    <w:p>
      <w:pPr>
        <w:pStyle w:val="Compact"/>
        <w:widowControl/>
        <w:numPr>
          <w:ilvl w:val="0"/>
          <w:numId w:val="813"/>
        </w:numPr>
        <w:rPr/>
      </w:pPr>
      <w:r>
        <w:rPr/>
        <w:t>a replacement for technical security audits, legal analysis or investment due diligence.</w:t>
      </w:r>
    </w:p>
    <w:p>
      <w:pPr>
        <w:pStyle w:val="Normal"/>
        <w:rPr/>
      </w:pPr>
      <w:bookmarkStart w:id="32" w:name="what-voxonomics-is-not"/>
      <w:bookmarkStart w:id="33" w:name="introduction"/>
      <w:r>
        <w:rPr/>
        <w:t>It is a governed measurement standard. Its reliability depends on clear definitions, high-quality data, robust adapters, transparent normalisation and honest confidence reporting.</w:t>
      </w:r>
      <w:bookmarkEnd w:id="32"/>
      <w:bookmarkEnd w:id="33"/>
    </w:p>
    <w:p>
      <w:pPr>
        <w:pStyle w:val="Heading2"/>
      </w:pPr>
      <w:r>
        <w:t>1.6 Economic value and monetary price</w:t>
      </w:r>
    </w:p>
    <w:p>
      <w:pPr>
        <w:pStyle w:val="BodyText"/>
      </w:pPr>
      <w:r>
        <w:t>Monetary price records the amount of a specified monetary unit exchanged, or quoted, for a specified asset or service at a stated time. It is observable market information, shaped by the transaction’s scope and conditions. A marginal trade price does not establish the proceeds obtainable from selling an entire stock. Nor does it identify every contribution an economic system makes to its users.</w:t>
      </w:r>
    </w:p>
    <w:p>
      <w:pPr>
        <w:pStyle w:val="BodyText"/>
      </w:pPr>
      <w:r>
        <w:t>Underlying economic value is not treated here as a directly observable universal scalar waiting to be discovered. In Voxonomics, the practical question is which economic functions, capabilities and outcomes can be measured under declared definitions. Usefulness, productive capacity, sustainable service provision and economic performance need evidence and interpretation. A market valuation can incorporate information and expectations beyond those observations; the model can also omit important factors.</w:t>
      </w:r>
    </w:p>
    <w:p>
      <w:pPr>
        <w:pStyle w:val="BodyText"/>
      </w:pPr>
      <w:r>
        <w:t>The thesis is therefore a measurement proposition, not a proof that markets are wrong or that Voxonomics knows a uniquely correct price. Price and measured fundamentals answer different questions. Market recognition means the valuation expressed by the market relative to the framework’s measured fundamentals; the existing VRI and Opportunity Gap definitions continue to govern that comparison. A divergence does not establish mispricing, an executable profit, or an obligation for price to converge.</w:t>
      </w:r>
    </w:p>
    <w:p>
      <w:pPr>
        <w:pStyle w:val="BodyText"/>
      </w:pPr>
      <w:r>
        <w:t>The inherited term “intrinsic network economic performance” refers to performance under the declared Voxonomics model. It does not mean an absolute, monetary or observer-free true value. Independence from a headline token-price verdict also does not mean that every input is free of prices: where an existing metric requires monetary valuation of activity, its prescribed units, event-time inputs, provenance and exclusions remain unchanged. This edition neither adds inflation adjustment nor removes existing price-dependent inputs.</w:t>
      </w:r>
    </w:p>
    <w:p>
      <w:pPr>
        <w:pStyle w:val="Heading2"/>
      </w:pPr>
      <w:r>
        <w:t>1.7 Money currency credit debt and wealth</w:t>
      </w:r>
    </w:p>
    <w:p>
      <w:pPr>
        <w:pStyle w:val="BodyText"/>
      </w:pPr>
      <w:r>
        <w:t>Money performs monetary functions: a means of exchange, a unit for stating accounts and prices, and a means of holding purchasing capacity through time. These functions do not guarantee stable purchasing power. “Currency” can mean a named monetary denomination, such as sterling, or more narrowly notes and coins. This discussion uses “monetary unit” for the denomination and “cash” for notes and coins; bank deposits must not be silently excluded from money. [M2]</w:t>
      </w:r>
    </w:p>
    <w:p>
      <w:pPr>
        <w:pStyle w:val="BodyText"/>
      </w:pPr>
      <w:r>
        <w:t>Credit is financing supplied on terms that create a claim and a corresponding obligation. Debt is the outstanding obligation to repay or otherwise settle amounts under those terms. In modern banking, a new bank loan can create a matching deposit and a loan liability; repayment reverses the corresponding money creation. The Bank of England explains why this is neither simply lending pre-existing deposits nor unlimited money creation: lending faces commercial, regulatory and monetary constraints. Creating a deposit is not, by itself, evidence that new real resources or equivalent net wealth have been created. [M1]</w:t>
      </w:r>
    </w:p>
    <w:p>
      <w:pPr>
        <w:pStyle w:val="BodyText"/>
      </w:pPr>
      <w:r>
        <w:t>Wealth is a stock of assets or claims at a specified date and valuation basis. Net wealth, or net worth, deducts liabilities. It is distinct from income or output over a period and from holdings of money alone. A higher asset valuation can increase recorded wealth without an equal increase in productive capacity or cash available to spend. The balance-sheet distinction between assets, liabilities and net worth is illustrated in IMF public-wealth analysis. [M6]</w:t>
      </w:r>
    </w:p>
    <w:p>
      <w:pPr>
        <w:pStyle w:val="BodyText"/>
      </w:pPr>
      <w:r>
        <w:t>These distinctions prevent category errors: a payment is not necessarily production, a loan is not income merely because funds arrive, and a change in a token’s capitalisation is not a measurement of new economic output. Existing canonical exclusions and accounting boundaries determine what Voxonomics counts; this discussion creates no new metric or exception.</w:t>
      </w:r>
    </w:p>
    <w:p>
      <w:pPr>
        <w:pStyle w:val="Heading2"/>
      </w:pPr>
      <w:r>
        <w:t>1.8 Purchasing power nominal change and real change</w:t>
      </w:r>
    </w:p>
    <w:p>
      <w:pPr>
        <w:pStyle w:val="BodyText"/>
      </w:pPr>
      <w:r>
        <w:t>Purchasing power is what a monetary amount can buy relative to specified goods and services at a stated place and time. Inflation changes that relationship. A person’s purchasing power also depends on changes in their nominal resources; it does not follow from inflation alone that every person’s real income falls. Consumer baskets, production-price measures and asset prices have different coverage. Inflation can reflect demand, supply and expectations as well as monetary conditions, and prices do not all adjust together. [M3]</w:t>
      </w:r>
    </w:p>
    <w:p>
      <w:pPr>
        <w:pStyle w:val="BodyText"/>
      </w:pPr>
      <w:r>
        <w:t>Nominal change is change measured in current monetary units. Real change removes the effect of specified price changes using an appropriate price or volume measure. ONS national-accounts methods distinguish current-price estimates from chained volume measures precisely for this reason. An exchange-rate conversion alone is not an inflation adjustment, and a consumer-price index is not automatically the right deflator for every asset, output or blockchain activity. [M4]</w:t>
      </w:r>
    </w:p>
    <w:p>
      <w:pPr>
        <w:pStyle w:val="BodyText"/>
      </w:pPr>
      <w:r>
        <w:t>For illustration only, if a nominal amount rises from 100 to 110 while the relevant price index rises from 100 to 110, the amount buys the same reference basket. That example is arithmetic, not a Voxonomics formula or a proposed universal deflator. A reported rise in monetary activity cannot by itself establish an equal rise in real output, usefulness or network economic performance.</w:t>
      </w:r>
    </w:p>
    <w:p>
      <w:pPr>
        <w:pStyle w:val="BodyText"/>
      </w:pPr>
      <w:r>
        <w:t>Credit and liquidity conditions are a separate influence from the purchasing power of the monetary unit. BIS distinguishes the ease of obtaining funding from the ease of selling assets, and describes interactions among financing conditions, leverage and asset prices. These relationships do not imply that every price move is caused by monetary expansion or that liquidity can be measured by one number. [M5]</w:t>
      </w:r>
    </w:p>
    <w:p>
      <w:pPr>
        <w:pStyle w:val="BodyText"/>
      </w:pPr>
      <w:r>
        <w:t>The implication for this thesis is to disclose units, time, scope and uncertainty when interpreting monetary observations. The ERU remains the existing governed reference benchmark; it is not a consumer basket, a fiat currency, an inflation hedge or a purchasing-power guarantee. VTS normalisation is not a conversion into inflation-adjusted GDP. No new nominal-to-real transformation is introduced into the Edition 3.2 methodology.</w:t>
      </w:r>
    </w:p>
    <w:p>
      <w:pPr>
        <w:pStyle w:val="Heading2"/>
      </w:pPr>
      <w:r>
        <w:t>1.9 Blockchain as the first proving ground</w:t>
      </w:r>
    </w:p>
    <w:p>
      <w:pPr>
        <w:pStyle w:val="BodyText"/>
      </w:pPr>
      <w:r>
        <w:t>Public blockchain networks are the first proving ground because their records can be public, timestamped, machine-readable and reproducible against identifiable source coordinates. Those properties make it possible to test an evidence-based measurement approach against shared records rather than relying only on private assertions. This is the project’s rationale for its initial domain, not a claim that every chain exposes complete or permanently retrievable evidence.</w:t>
      </w:r>
    </w:p>
    <w:p>
      <w:pPr>
        <w:pStyle w:val="BodyText"/>
      </w:pPr>
      <w:r>
        <w:t>A ledger records state transitions under protocol rules. It does not automatically establish economic purpose, unique human users, beneficial ownership, legal enforceability or the quality of an off-chain claim. Timestamps, finality and record availability depend on the network and source. Reproduction requires retained evidence, the same scope and the versioned calculation path. The inherited collector, preservation, certification and confidence rules remain the means of handling those limitations.</w:t>
      </w:r>
    </w:p>
    <w:p>
      <w:pPr>
        <w:pStyle w:val="BodyText"/>
      </w:pPr>
      <w:r>
        <w:t>The first proving ground is also a test of the model itself. Public evidence can support or challenge a calculation and its interpretation. It cannot certify a methodology merely because the data is on-chain, and it does not make a research output an official published score. Existing publication gates remain binding.</w:t>
      </w:r>
    </w:p>
    <w:p>
      <w:pPr>
        <w:pStyle w:val="Heading2"/>
      </w:pPr>
      <w:r>
        <w:t>1.10 Scope of longer term value intelligence</w:t>
      </w:r>
    </w:p>
    <w:p>
      <w:pPr>
        <w:pStyle w:val="BodyText"/>
      </w:pPr>
      <w:r>
        <w:t>Voxonomics aims to provide an independent evidence-based economic measurement layer. It is not intended to replace fiat money, decide monetary policy, forecast token prices or claim perfect economic truth. Its usefulness must be established through defensible definitions, reproducible evidence, explicit uncertainty and independent scrutiny.</w:t>
      </w:r>
    </w:p>
    <w:p>
      <w:pPr>
        <w:pStyle w:val="BodyText"/>
      </w:pPr>
      <w:r>
        <w:t>The long-term ambition is broader evidence-based value intelligence. Applying the evidence discipline to companies, property, other assets or wider economic domains would require each domain’s own canonical definitions, accounting boundaries, units, evidence standards, calibration, governance and validation. No such framework is specified or certified by this edition.</w:t>
      </w:r>
    </w:p>
    <w:p>
      <w:pPr>
        <w:pStyle w:val="BodyText"/>
      </w:pPr>
      <w:r>
        <w:t>VTS remains the blockchain-economic measurement system defined in the inherited specification. “Universal” and “chain-agnostic” describe consistency across eligible blockchain architectures, not a claim that the same six-index model values every economic object. The wider ambition does not permit new parents, extra submetrics, altered weights, substituted benchmarks or cross-domain aggregation inside VTS.</w:t>
      </w:r>
    </w:p>
    <w:p>
      <w:pPr>
        <w:pStyle w:val="BodyText"/>
      </w:pPr>
      <w:r>
        <w:t>The optional VOX and V-FOREX concepts retained in the inherited specification remain subject to their existing activation conditions. Explaining the monetary context neither activates those proposals nor makes them substitutes for sovereign money. Edition 3.3 is the current canonical publication; any later change requires explicit approval and publication.</w:t>
      </w:r>
    </w:p>
    <w:p>
      <w:pPr>
        <w:pStyle w:val="Heading1"/>
        <w:keepNext w:val="true"/>
        <w:keepLines/>
        <w:widowControl/>
        <w:pBdr>
          <w:bottom w:val="single" w:sz="6" w:space="5" w:color="8AB2BF"/>
        </w:pBdr>
        <w:jc w:val="left"/>
        <w:rPr/>
      </w:pPr>
      <w:bookmarkStart w:id="34" w:name="__RefHeading___Toc8181_528838595"/>
      <w:bookmarkEnd w:id="34"/>
      <w:r>
        <w:rPr/>
        <w:t>2. The Digital Value Problem</w:t>
      </w:r>
    </w:p>
    <w:p>
      <w:pPr>
        <w:pStyle w:val="Heading2"/>
        <w:keepNext w:val="true"/>
        <w:keepLines/>
        <w:widowControl/>
        <w:rPr/>
      </w:pPr>
      <w:bookmarkStart w:id="35" w:name="__RefHeading___Toc8183_528838595"/>
      <w:bookmarkEnd w:id="35"/>
      <w:r>
        <w:rPr/>
        <w:t>2.1 Market capitalisation is recognition, not intrinsic measurement</w:t>
      </w:r>
    </w:p>
    <w:p>
      <w:pPr>
        <w:pStyle w:val="Normal"/>
        <w:rPr/>
      </w:pPr>
      <w:r>
        <w:rPr/>
        <w:t>Market capitalisation is the product of circulating token supply and market price. It shows the market value of the liquid asset under a particular supply definition. It does not by itself measure network revenue, user participation, decentralisation, settlement quality, resilience or value capture.</w:t>
      </w:r>
    </w:p>
    <w:p>
      <w:pPr>
        <w:pStyle w:val="BodyText"/>
        <w:widowControl/>
        <w:rPr/>
      </w:pPr>
      <w:r>
        <w:rPr/>
        <w:t>Circulating supply can also be difficult to define. Locked allocations, foundations, treasuries, bridges, staking contracts and protocol-owned balances may be treated differently across providers. Thin liquidity can produce a large nominal valuation from a relatively small amount of traded capital. Fully diluted valuation can reveal future dilution but does not measure whether the future supply will create or dilute economic value.</w:t>
      </w:r>
    </w:p>
    <w:p>
      <w:pPr>
        <w:pStyle w:val="BodyText"/>
        <w:widowControl/>
        <w:rPr/>
      </w:pPr>
      <w:bookmarkStart w:id="36" w:name="X38063648f615fcc27eedee964fdff4ebbf3025a"/>
      <w:r>
        <w:rPr/>
        <w:t>Voxonomics therefore treats market value as an input to VRI rather than VTS.</w:t>
      </w:r>
      <w:bookmarkEnd w:id="36"/>
    </w:p>
    <w:p>
      <w:pPr>
        <w:pStyle w:val="Heading2"/>
        <w:keepNext w:val="true"/>
        <w:keepLines/>
        <w:widowControl/>
        <w:rPr/>
      </w:pPr>
      <w:bookmarkStart w:id="37" w:name="__RefHeading___Toc8185_528838595"/>
      <w:bookmarkEnd w:id="37"/>
      <w:r>
        <w:rPr/>
        <w:t>2.2 Single metrics produce false certainty</w:t>
      </w:r>
    </w:p>
    <w:p>
      <w:pPr>
        <w:pStyle w:val="Normal"/>
        <w:rPr/>
      </w:pPr>
      <w:r>
        <w:rPr/>
        <w:t>Every common blockchain metric has strengths and limitations: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Metric</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What it reveals</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What it can miss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Transaction count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Frequency of recorded actions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Spam, batching, low-value transfers, architecture differences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addresses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Observable account activity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Sybil activity, account abstraction, shared addresses, bots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Demand for blockspace or services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Subsidies, fee design, congestion, extraction outside the token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Revenue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value retained</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Cyclicality, token incentives, accounting differences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TVL</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Capital committed to applications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Double counting, borrowed assets, price effects, bridge risk</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DEX volume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Trading activity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Wash trading, incentive farming, concentration and slippage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Validator count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Number of validator identities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Stake concentration, common ownership, hosting concentration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 price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Fundamentals, liquidity depth, dilution and reflexivity</w:t>
            </w:r>
          </w:p>
        </w:tc>
      </w:tr>
    </w:tbl>
    <w:p>
      <w:pPr>
        <w:pStyle w:val="BodyText"/>
        <w:widowControl/>
        <w:rPr/>
      </w:pPr>
      <w:bookmarkStart w:id="38" w:name="single-metrics-produce-false-certainty"/>
      <w:r>
        <w:rPr/>
        <w:t>A credible model must combine multiple dimensions and publish the evidence behind each one.</w:t>
      </w:r>
      <w:bookmarkEnd w:id="38"/>
    </w:p>
    <w:p>
      <w:pPr>
        <w:pStyle w:val="Heading2"/>
        <w:keepNext w:val="true"/>
        <w:keepLines/>
        <w:widowControl/>
        <w:rPr/>
      </w:pPr>
      <w:bookmarkStart w:id="39" w:name="__RefHeading___Toc8187_528838595"/>
      <w:bookmarkEnd w:id="39"/>
      <w:r>
        <w:rPr/>
        <w:t>2.3 Value creation, value capture and value recognition</w:t>
      </w:r>
    </w:p>
    <w:p>
      <w:pPr>
        <w:pStyle w:val="Normal"/>
        <w:rPr/>
      </w:pPr>
      <w:r>
        <w:rPr/>
        <w:t>Voxonomics distinguishes three economic concepts:</w:t>
      </w:r>
    </w:p>
    <w:p>
      <w:pPr>
        <w:pStyle w:val="Compact"/>
        <w:widowControl/>
        <w:numPr>
          <w:ilvl w:val="0"/>
          <w:numId w:val="814"/>
        </w:numPr>
        <w:rPr/>
      </w:pPr>
      <w:r>
        <w:rPr>
          <w:b/>
          <w:bCs/>
        </w:rPr>
        <w:t>Value creation</w:t>
      </w:r>
      <w:r>
        <w:rPr/>
        <w:t xml:space="preserve"> — the network enables useful settlement, computation, liquidity, coordination or real-world activity.</w:t>
      </w:r>
    </w:p>
    <w:p>
      <w:pPr>
        <w:pStyle w:val="Compact"/>
        <w:widowControl/>
        <w:numPr>
          <w:ilvl w:val="0"/>
          <w:numId w:val="815"/>
        </w:numPr>
        <w:rPr/>
      </w:pPr>
      <w:r>
        <w:rPr>
          <w:b/>
          <w:bCs/>
        </w:rPr>
        <w:t>Value capture</w:t>
      </w:r>
      <w:r>
        <w:rPr/>
        <w:t xml:space="preserve"> — fees, burns, treasury income, staking economics or other mechanisms retain part of that activity for the protocol or its economic security.</w:t>
      </w:r>
    </w:p>
    <w:p>
      <w:pPr>
        <w:pStyle w:val="Compact"/>
        <w:widowControl/>
        <w:numPr>
          <w:ilvl w:val="0"/>
          <w:numId w:val="816"/>
        </w:numPr>
        <w:rPr/>
      </w:pPr>
      <w:r>
        <w:rPr>
          <w:b/>
          <w:bCs/>
        </w:rPr>
        <w:t>Value recognition</w:t>
      </w:r>
      <w:r>
        <w:rPr/>
        <w:t xml:space="preserve"> — markets assign a valuation to the network asset.</w:t>
      </w:r>
    </w:p>
    <w:p>
      <w:pPr>
        <w:pStyle w:val="Normal"/>
        <w:rPr/>
      </w:pPr>
      <w:bookmarkStart w:id="40" w:name="X1aa331bfff911a448d7ef7b1e74814db24c7986"/>
      <w:r>
        <w:rPr/>
        <w:t>These concepts are related but not identical. A network may create substantial user value while capturing little revenue. A protocol may capture revenue while remaining centralised or fragile. A token may receive high recognition because of expected future growth. Voxonomics prevents these distinctions from disappearing inside one headline metric.</w:t>
      </w:r>
      <w:bookmarkEnd w:id="40"/>
    </w:p>
    <w:p>
      <w:pPr>
        <w:pStyle w:val="Heading2"/>
        <w:keepNext w:val="true"/>
        <w:keepLines/>
        <w:widowControl/>
        <w:rPr/>
      </w:pPr>
      <w:bookmarkStart w:id="41" w:name="__RefHeading___Toc8189_528838595"/>
      <w:bookmarkEnd w:id="41"/>
      <w:r>
        <w:rPr/>
        <w:t>2.4 The comparability challenge</w:t>
      </w:r>
    </w:p>
    <w:p>
      <w:pPr>
        <w:pStyle w:val="Normal"/>
        <w:rPr/>
      </w:pPr>
      <w:r>
        <w:rPr/>
        <w:t>Raw comparisons favour scale and architecture. A high-throughput network may record many inexpensive transactions, while a settlement-oriented network may process fewer but larger and more economically final transfers. A rollup may inherit security from a base layer but retain separate sequencer and bridge risks. A proof-of-work chain does not expose a staked-supply ratio. A privacy-preserving system may deliberately reveal less user-level information.</w:t>
      </w:r>
    </w:p>
    <w:p>
      <w:pPr>
        <w:pStyle w:val="BodyText"/>
        <w:widowControl/>
        <w:rPr/>
      </w:pPr>
      <w:bookmarkStart w:id="42" w:name="the-comparability-challenge"/>
      <w:r>
        <w:rPr/>
        <w:t>The solution is not to force the same raw field onto every system. It is to define the universal economic property first, then specify how each architecture provides evidence for that property.</w:t>
      </w:r>
      <w:bookmarkEnd w:id="42"/>
    </w:p>
    <w:p>
      <w:pPr>
        <w:pStyle w:val="Heading2"/>
        <w:keepNext w:val="true"/>
        <w:keepLines/>
        <w:widowControl/>
        <w:rPr/>
      </w:pPr>
      <w:bookmarkStart w:id="43" w:name="__RefHeading___Toc8191_528838595"/>
      <w:bookmarkEnd w:id="43"/>
      <w:r>
        <w:rPr/>
        <w:t>2.5 The confidence problem</w:t>
      </w:r>
    </w:p>
    <w:p>
      <w:pPr>
        <w:pStyle w:val="Normal"/>
        <w:rPr/>
      </w:pPr>
      <w:r>
        <w:rPr/>
        <w:t>Many rankings publish a score without publishing whether the underlying evidence is complete. This creates false precision. A network with incomplete governance data should not receive the same apparent certainty as a network with verified historical records, multiple independent sources and a tested adapter.</w:t>
      </w:r>
    </w:p>
    <w:p>
      <w:pPr>
        <w:pStyle w:val="BodyText"/>
        <w:widowControl/>
        <w:rPr/>
      </w:pPr>
      <w:bookmarkStart w:id="44" w:name="the-confidence-problem"/>
      <w:bookmarkStart w:id="45" w:name="the-digital-value-problem"/>
      <w:r>
        <w:rPr/>
        <w:t>Voxonomics solves this through VCS. Every headline result must be accompanied by a confidence score and publication status. Missing evidence affects confidence and, where the missing function is economically material, the relevant index. It is never silently replaced with an arbitrary neutral value.</w:t>
      </w:r>
      <w:bookmarkEnd w:id="44"/>
      <w:bookmarkEnd w:id="45"/>
    </w:p>
    <w:p>
      <w:pPr>
        <w:pStyle w:val="Heading1"/>
        <w:keepNext w:val="true"/>
        <w:keepLines/>
        <w:widowControl/>
        <w:pBdr>
          <w:bottom w:val="single" w:sz="6" w:space="5" w:color="8AB2BF"/>
        </w:pBdr>
        <w:jc w:val="left"/>
        <w:rPr/>
      </w:pPr>
      <w:bookmarkStart w:id="46" w:name="__RefHeading___Toc8193_528838595"/>
      <w:bookmarkEnd w:id="46"/>
      <w:r>
        <w:rPr/>
        <w:t>3. Networks as Measurable Economies</w:t>
      </w:r>
    </w:p>
    <w:p>
      <w:pPr>
        <w:pStyle w:val="Heading2"/>
        <w:keepNext w:val="true"/>
        <w:keepLines/>
        <w:widowControl/>
        <w:rPr/>
      </w:pPr>
      <w:bookmarkStart w:id="47" w:name="__RefHeading___Toc8195_528838595"/>
      <w:bookmarkEnd w:id="47"/>
      <w:r>
        <w:rPr/>
        <w:t>3.1 Economic output</w:t>
      </w:r>
    </w:p>
    <w:p>
      <w:pPr>
        <w:pStyle w:val="Normal"/>
        <w:rPr/>
      </w:pPr>
      <w:r>
        <w:rPr/>
        <w:t>A blockchain economy produces output when it enables settlement, execution, data services, financial intermediation, asset issuance or other verifiable functions. Output cannot be represented by transaction count alone. Voxonomics therefore combines transfer value, fees, revenue, service use, value capture and persistence.</w:t>
      </w:r>
    </w:p>
    <w:p>
      <w:pPr>
        <w:pStyle w:val="BodyText"/>
        <w:widowControl/>
        <w:rPr/>
      </w:pPr>
      <w:bookmarkStart w:id="48" w:name="economic-output"/>
      <w:r>
        <w:rPr/>
        <w:t>Economic output is strongest when activity is repeated, broad-based, difficult to fabricate and connected to a sustainable security budget. Temporary incentive farming may still be observed, but its quality is discounted through retention, concentration, subsidy and resilience metrics.</w:t>
      </w:r>
      <w:bookmarkEnd w:id="48"/>
    </w:p>
    <w:p>
      <w:pPr>
        <w:pStyle w:val="Heading2"/>
        <w:keepNext w:val="true"/>
        <w:keepLines/>
        <w:widowControl/>
        <w:rPr/>
      </w:pPr>
      <w:bookmarkStart w:id="49" w:name="__RefHeading___Toc8197_528838595"/>
      <w:bookmarkEnd w:id="49"/>
      <w:r>
        <w:rPr/>
        <w:t>3.2 Participation and productive capacity</w:t>
      </w:r>
    </w:p>
    <w:p>
      <w:pPr>
        <w:pStyle w:val="Normal"/>
        <w:rPr/>
      </w:pPr>
      <w:r>
        <w:rPr/>
        <w:t>Networks require more than passive holders. Users generate demand, validators or miners secure state, developers maintain software, delegates and voters govern shared resources, and liquidity providers support exchange. Participation is economically meaningful when it is active, distributed and persistent.</w:t>
      </w:r>
    </w:p>
    <w:p>
      <w:pPr>
        <w:pStyle w:val="BodyText"/>
        <w:widowControl/>
        <w:rPr/>
      </w:pPr>
      <w:bookmarkStart w:id="50" w:name="participation-and-productive-capacity"/>
      <w:r>
        <w:rPr/>
        <w:t>OPI measures this productive social layer without assuming that one governance or consensus model is universally superior.</w:t>
      </w:r>
      <w:bookmarkEnd w:id="50"/>
    </w:p>
    <w:p>
      <w:pPr>
        <w:pStyle w:val="Heading2"/>
        <w:keepNext w:val="true"/>
        <w:keepLines/>
        <w:widowControl/>
        <w:rPr/>
      </w:pPr>
      <w:bookmarkStart w:id="51" w:name="__RefHeading___Toc8199_528838595"/>
      <w:bookmarkEnd w:id="51"/>
      <w:r>
        <w:rPr/>
        <w:t>3.3 Financial depth</w:t>
      </w:r>
    </w:p>
    <w:p>
      <w:pPr>
        <w:pStyle w:val="Normal"/>
        <w:rPr/>
      </w:pPr>
      <w:bookmarkStart w:id="52" w:name="financial-depth"/>
      <w:r>
        <w:rPr/>
        <w:t>Liquidity converts nominal value into usable value. A token or application may report high valuation, but if meaningful trades cause severe price impact, capital cannot enter or leave efficiently. DLI therefore measures depth, slippage, concentration, volume quality, venue diversity and stress performance rather than relying on total value locked alone.</w:t>
      </w:r>
      <w:bookmarkEnd w:id="52"/>
    </w:p>
    <w:p>
      <w:pPr>
        <w:pStyle w:val="Heading2"/>
        <w:keepNext w:val="true"/>
        <w:keepLines/>
        <w:widowControl/>
        <w:rPr/>
      </w:pPr>
      <w:bookmarkStart w:id="53" w:name="__RefHeading___Toc8201_528838595"/>
      <w:bookmarkEnd w:id="53"/>
      <w:r>
        <w:rPr/>
        <w:t>3.4 Institutional integrity</w:t>
      </w:r>
    </w:p>
    <w:p>
      <w:pPr>
        <w:pStyle w:val="Normal"/>
        <w:rPr/>
      </w:pPr>
      <w:bookmarkStart w:id="54" w:name="institutional-integrity"/>
      <w:r>
        <w:rPr/>
        <w:t>A network cannot function as an economy if its settlement fails, critical software is repeatedly exploited, control is highly concentrated or operators cannot recover from incidents. PII measures the current quality of protocol security, decentralisation, availability and operational controls. ERI separately measures the system’s ability to withstand and recover from stress over time.</w:t>
      </w:r>
      <w:bookmarkEnd w:id="54"/>
    </w:p>
    <w:p>
      <w:pPr>
        <w:pStyle w:val="Heading2"/>
        <w:keepNext w:val="true"/>
        <w:keepLines/>
        <w:widowControl/>
        <w:rPr/>
      </w:pPr>
      <w:bookmarkStart w:id="55" w:name="__RefHeading___Toc8203_528838595"/>
      <w:bookmarkEnd w:id="55"/>
      <w:r>
        <w:rPr/>
        <w:t>3.5 Real-world connection</w:t>
      </w:r>
    </w:p>
    <w:p>
      <w:pPr>
        <w:pStyle w:val="Normal"/>
        <w:rPr/>
      </w:pPr>
      <w:bookmarkStart w:id="56" w:name="real-world-connection"/>
      <w:r>
        <w:rPr/>
        <w:t>The digital economy is strongest when it supports activity beyond internal token rotation. Stablecoin settlement, payments, tokenised financial instruments, enterprise usage and verifiable off-chain claims can connect networks to the wider economy. RWAI measures this connection while explicitly accounting for issuer, custody, oracle and legal dependencies.</w:t>
      </w:r>
      <w:bookmarkEnd w:id="56"/>
    </w:p>
    <w:p>
      <w:pPr>
        <w:pStyle w:val="Heading2"/>
        <w:keepNext w:val="true"/>
        <w:keepLines/>
        <w:widowControl/>
        <w:rPr/>
      </w:pPr>
      <w:bookmarkStart w:id="57" w:name="__RefHeading___Toc8205_528838595"/>
      <w:bookmarkEnd w:id="57"/>
      <w:r>
        <w:rPr/>
        <w:t>3.6 Economic resilience</w:t>
      </w:r>
    </w:p>
    <w:p>
      <w:pPr>
        <w:pStyle w:val="Normal"/>
        <w:rPr/>
      </w:pPr>
      <w:bookmarkStart w:id="58" w:name="economic-resilience"/>
      <w:bookmarkStart w:id="59" w:name="networks-as-measurable-economies"/>
      <w:r>
        <w:rPr/>
        <w:t>Growth measured only in favourable conditions is incomplete. Networks experience bear markets, congestion, exploits, validator exits, liquidity shocks, regulatory changes and infrastructure failures. ERI measures retention, redundancy, recovery and sustainable security capacity across stress periods.</w:t>
      </w:r>
      <w:bookmarkEnd w:id="58"/>
      <w:bookmarkEnd w:id="59"/>
    </w:p>
    <w:p>
      <w:pPr>
        <w:pStyle w:val="Heading1"/>
        <w:keepNext w:val="true"/>
        <w:keepLines/>
        <w:widowControl/>
        <w:pBdr>
          <w:bottom w:val="single" w:sz="6" w:space="5" w:color="8AB2BF"/>
        </w:pBdr>
        <w:jc w:val="left"/>
        <w:rPr/>
      </w:pPr>
      <w:bookmarkStart w:id="60" w:name="__RefHeading___Toc8207_528838595"/>
      <w:bookmarkEnd w:id="60"/>
      <w:r>
        <w:rPr/>
        <w:t>4. Constitutional Principles</w:t>
      </w:r>
    </w:p>
    <w:p>
      <w:pPr>
        <w:pStyle w:val="Normal"/>
        <w:rPr/>
      </w:pPr>
      <w:r>
        <w:rPr/>
        <w:t>The Voxonomics constitution defines the rules that every implementation must preserve. These rules are higher-level constraints on governance, software and economic design.</w:t>
      </w:r>
    </w:p>
    <w:p>
      <w:pPr>
        <w:pStyle w:val="Heading2"/>
        <w:keepNext w:val="true"/>
        <w:keepLines/>
        <w:widowControl/>
        <w:rPr/>
      </w:pPr>
      <w:bookmarkStart w:id="61" w:name="__RefHeading___Toc8209_528838595"/>
      <w:bookmarkEnd w:id="61"/>
      <w:r>
        <w:rPr/>
        <w:t>4.1 Universality</w:t>
      </w:r>
    </w:p>
    <w:p>
      <w:pPr>
        <w:pStyle w:val="Normal"/>
        <w:rPr/>
      </w:pPr>
      <w:bookmarkStart w:id="62" w:name="universality"/>
      <w:r>
        <w:rPr/>
        <w:t>The same six parent indices, equal parent weights, publication rules and reference-unit methodology apply to every network. No network receives a private formula, favourable benchmark or selective exclusion of weak dimensions.</w:t>
      </w:r>
      <w:bookmarkEnd w:id="62"/>
    </w:p>
    <w:p>
      <w:pPr>
        <w:pStyle w:val="Heading2"/>
        <w:keepNext w:val="true"/>
        <w:keepLines/>
        <w:widowControl/>
        <w:rPr/>
      </w:pPr>
      <w:bookmarkStart w:id="63" w:name="__RefHeading___Toc8211_528838595"/>
      <w:bookmarkEnd w:id="63"/>
      <w:r>
        <w:rPr/>
        <w:t>4.2 Chain agnosticism</w:t>
      </w:r>
    </w:p>
    <w:p>
      <w:pPr>
        <w:pStyle w:val="Normal"/>
        <w:rPr/>
      </w:pPr>
      <w:bookmarkStart w:id="64" w:name="chain-agnosticism"/>
      <w:r>
        <w:rPr/>
        <w:t>The standard is independent of a specific blockchain, virtual machine, consensus model or data provider. Chain-specific adapters are permitted only to translate architecture-specific evidence into universal definitions.</w:t>
      </w:r>
      <w:bookmarkEnd w:id="64"/>
    </w:p>
    <w:p>
      <w:pPr>
        <w:pStyle w:val="Heading2"/>
        <w:keepNext w:val="true"/>
        <w:keepLines/>
        <w:widowControl/>
        <w:rPr/>
      </w:pPr>
      <w:bookmarkStart w:id="65" w:name="__RefHeading___Toc8213_528838595"/>
      <w:bookmarkEnd w:id="65"/>
      <w:r>
        <w:rPr/>
        <w:t>4.3 Equal weighting</w:t>
      </w:r>
    </w:p>
    <w:p>
      <w:pPr>
        <w:pStyle w:val="Normal"/>
        <w:rPr/>
      </w:pPr>
      <w:bookmarkStart w:id="66" w:name="equal-weighting"/>
      <w:r>
        <w:rPr/>
        <w:t>PoV, OPI, DLI, PII, RWAI and ERI each receive exactly one-sixth of the core VTS. This constraint prevents governance from turning the framework into a narrative-weighted model. Submetric weights inside each index may be calibrated through evidence and governance, but the six parent indices remain equal in Edition 3.1.</w:t>
      </w:r>
      <w:bookmarkEnd w:id="66"/>
    </w:p>
    <w:p>
      <w:pPr>
        <w:pStyle w:val="BodyText"/>
        <w:rPr/>
      </w:pPr>
      <w:r>
        <w:rPr/>
        <w:t>Edition 3.2 carries this parent-weighting rule forward without modification: PoV, OPI, DLI, PII, RWAI and ERI each continue to receive exactly one-sixth of core VTS.</w:t>
      </w:r>
    </w:p>
    <w:p>
      <w:pPr>
        <w:pStyle w:val="Heading2"/>
        <w:keepNext w:val="true"/>
        <w:keepLines/>
        <w:widowControl/>
        <w:rPr/>
      </w:pPr>
      <w:bookmarkStart w:id="67" w:name="__RefHeading___Toc8215_528838595"/>
      <w:bookmarkEnd w:id="67"/>
      <w:r>
        <w:rPr/>
        <w:t>4.4 Verifiability</w:t>
      </w:r>
    </w:p>
    <w:p>
      <w:pPr>
        <w:pStyle w:val="Normal"/>
        <w:rPr/>
      </w:pPr>
      <w:bookmarkStart w:id="68" w:name="verifiability"/>
      <w:r>
        <w:rPr/>
        <w:t>Every published value must be traceable to source observations, transformation logic, adapter version, benchmark version and calculation timestamp. A result that cannot be independently reproduced is not an official Voxonomics result.</w:t>
      </w:r>
      <w:bookmarkEnd w:id="68"/>
    </w:p>
    <w:p>
      <w:pPr>
        <w:pStyle w:val="Heading2"/>
        <w:keepNext w:val="true"/>
        <w:keepLines/>
        <w:widowControl/>
        <w:rPr/>
      </w:pPr>
      <w:bookmarkStart w:id="69" w:name="__RefHeading___Toc8217_528838595"/>
      <w:bookmarkEnd w:id="69"/>
      <w:r>
        <w:rPr/>
        <w:t>4.5 Objective before subjective</w:t>
      </w:r>
    </w:p>
    <w:p>
      <w:pPr>
        <w:pStyle w:val="Normal"/>
        <w:rPr/>
      </w:pPr>
      <w:bookmarkStart w:id="70" w:name="objective-before-subjective"/>
      <w:r>
        <w:rPr/>
        <w:t>Direct on-chain observations and deterministic calculations have priority. Expert judgement may be used only for clearly labelled classifications, risk interpretation or disputed evidence. Subjective inputs cannot be hidden inside quantitative scores.</w:t>
      </w:r>
      <w:bookmarkEnd w:id="70"/>
    </w:p>
    <w:p>
      <w:pPr>
        <w:pStyle w:val="Heading2"/>
        <w:keepNext w:val="true"/>
        <w:keepLines/>
        <w:widowControl/>
        <w:rPr/>
      </w:pPr>
      <w:bookmarkStart w:id="71" w:name="__RefHeading___Toc8219_528838595"/>
      <w:bookmarkEnd w:id="71"/>
      <w:r>
        <w:rPr/>
        <w:t>4.6 Separation of measurement and markets</w:t>
      </w:r>
    </w:p>
    <w:p>
      <w:pPr>
        <w:pStyle w:val="Normal"/>
        <w:rPr/>
      </w:pPr>
      <w:bookmarkStart w:id="72" w:name="separation-of-measurement-and-markets"/>
      <w:r>
        <w:rPr/>
        <w:t>VTS measures intrinsic network economic performance. VRI measures market recognition. VOX and V-FOREX are optional implementation layers. Market price cannot be used to define VTS, and VOX-specific liquidity cannot be used to determine the score that authorises VOX issuance.</w:t>
      </w:r>
      <w:bookmarkEnd w:id="72"/>
    </w:p>
    <w:p>
      <w:pPr>
        <w:pStyle w:val="Heading2"/>
        <w:keepNext w:val="true"/>
        <w:keepLines/>
        <w:widowControl/>
        <w:rPr/>
      </w:pPr>
      <w:bookmarkStart w:id="73" w:name="__RefHeading___Toc8221_528838595"/>
      <w:bookmarkEnd w:id="73"/>
      <w:r>
        <w:rPr/>
        <w:t>4.7 Honest uncertainty</w:t>
      </w:r>
    </w:p>
    <w:p>
      <w:pPr>
        <w:pStyle w:val="Normal"/>
        <w:rPr/>
      </w:pPr>
      <w:bookmarkStart w:id="74" w:name="honest-uncertainty"/>
      <w:r>
        <w:rPr/>
        <w:t>A score must not imply more certainty than the evidence supports. VCS is mandatory. Provisional, experimental and disputed results must be labelled visibly.</w:t>
      </w:r>
      <w:bookmarkEnd w:id="74"/>
    </w:p>
    <w:p>
      <w:pPr>
        <w:pStyle w:val="Heading2"/>
        <w:keepNext w:val="true"/>
        <w:keepLines/>
        <w:widowControl/>
        <w:rPr/>
      </w:pPr>
      <w:bookmarkStart w:id="75" w:name="__RefHeading___Toc8223_528838595"/>
      <w:bookmarkEnd w:id="75"/>
      <w:r>
        <w:rPr/>
        <w:t>4.8 Immutable history with versioned recalculation</w:t>
      </w:r>
    </w:p>
    <w:p>
      <w:pPr>
        <w:pStyle w:val="Normal"/>
        <w:rPr/>
      </w:pPr>
      <w:bookmarkStart w:id="76" w:name="Xa9480092640502b742ef152bfcc2a1c6692c9af"/>
      <w:r>
        <w:rPr/>
        <w:t>Published historical observations are immutable. When methodology changes, the framework may publish a new versioned historical series, but it must preserve the previous series and identify the exact methodological difference. History is not silently rewritten.</w:t>
      </w:r>
      <w:bookmarkEnd w:id="76"/>
    </w:p>
    <w:p>
      <w:pPr>
        <w:pStyle w:val="Heading2"/>
        <w:keepNext w:val="true"/>
        <w:keepLines/>
        <w:widowControl/>
        <w:rPr/>
      </w:pPr>
      <w:bookmarkStart w:id="77" w:name="__RefHeading___Toc8225_528838595"/>
      <w:bookmarkEnd w:id="77"/>
      <w:r>
        <w:rPr/>
        <w:t>4.9 One DAO, one standard</w:t>
      </w:r>
    </w:p>
    <w:p>
      <w:pPr>
        <w:pStyle w:val="Normal"/>
        <w:rPr/>
      </w:pPr>
      <w:bookmarkStart w:id="78" w:name="one-dao-one-standard"/>
      <w:r>
        <w:rPr/>
        <w:t>One VOX DAO governs the global framework. It does not govern individual networks. It governs the common measurement standard, approved adapters, confidence policy, data-source standards, versioning and optional VOX implementation.</w:t>
      </w:r>
      <w:bookmarkEnd w:id="78"/>
    </w:p>
    <w:p>
      <w:pPr>
        <w:pStyle w:val="Heading2"/>
        <w:keepNext w:val="true"/>
        <w:keepLines/>
        <w:widowControl/>
        <w:rPr/>
      </w:pPr>
      <w:bookmarkStart w:id="79" w:name="__RefHeading___Toc8227_528838595"/>
      <w:bookmarkEnd w:id="79"/>
      <w:r>
        <w:rPr/>
        <w:t>4.10 Open observability</w:t>
      </w:r>
    </w:p>
    <w:p>
      <w:pPr>
        <w:pStyle w:val="Normal"/>
        <w:rPr/>
      </w:pPr>
      <w:r>
        <w:rPr/>
        <w:t>A public network does not need to opt in before it can be measured from public evidence. Official certification concerns the quality of the adapter and publication, not permission from the network.</w:t>
      </w:r>
    </w:p>
    <w:p>
      <w:pPr>
        <w:pStyle w:val="Normal"/>
        <w:rPr/>
      </w:pPr>
      <w:r>
        <w:rPr/>
        <w:drawing>
          <wp:inline distT="0" distB="0" distL="0" distR="0">
            <wp:extent cx="5440680" cy="2863850"/>
            <wp:effectExtent l="0" t="0" r="0" b="0"/>
            <wp:docPr id="3" name="Picture" descr="The Voxonomics architecture separates public evidence, universal adapters, measurement, analytical outputs, optional markets, and gov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The Voxonomics architecture separates public evidence, universal adapters, measurement, analytical outputs, optional markets, and governance."/>
                    <pic:cNvPicPr>
                      <a:picLocks noChangeAspect="1" noChangeArrowheads="1"/>
                    </pic:cNvPicPr>
                  </pic:nvPicPr>
                  <pic:blipFill>
                    <a:blip r:embed="rId4"/>
                    <a:stretch>
                      <a:fillRect/>
                    </a:stretch>
                  </pic:blipFill>
                  <pic:spPr bwMode="auto">
                    <a:xfrm>
                      <a:off x="0" y="0"/>
                      <a:ext cx="5440680" cy="2863850"/>
                    </a:xfrm>
                    <a:prstGeom prst="rect">
                      <a:avLst/>
                    </a:prstGeom>
                    <a:noFill/>
                  </pic:spPr>
                </pic:pic>
              </a:graphicData>
            </a:graphic>
          </wp:inline>
        </w:drawing>
      </w:r>
    </w:p>
    <w:p>
      <w:pPr>
        <w:pStyle w:val="Normal"/>
        <w:rPr/>
      </w:pPr>
      <w:bookmarkStart w:id="80" w:name="open-observability"/>
      <w:bookmarkStart w:id="81" w:name="constitutional-principles"/>
      <w:r>
        <w:rPr/>
        <w:t>The Voxonomics architecture separates public evidence, universal adapters, measurement, analytical outputs, optional markets, and governance.</w:t>
      </w:r>
      <w:bookmarkEnd w:id="80"/>
      <w:bookmarkEnd w:id="81"/>
      <w:r>
        <w:br w:type="page"/>
      </w:r>
    </w:p>
    <w:p>
      <w:pPr>
        <w:pStyle w:val="PartTitle"/>
        <w:spacing w:before="0" w:after="360"/>
        <w:rPr/>
      </w:pPr>
      <w:bookmarkStart w:id="82" w:name="__RefHeading___Toc8229_528838595"/>
      <w:bookmarkStart w:id="83" w:name="X4bc5a101f5d07211b48aebeab136db1366e52ea"/>
      <w:bookmarkEnd w:id="82"/>
      <w:r>
        <w:rPr/>
        <w:t>Part II — Architecture, Data and Measurement</w:t>
      </w:r>
      <w:bookmarkEnd w:id="83"/>
    </w:p>
    <w:p>
      <w:pPr>
        <w:pStyle w:val="Heading1"/>
        <w:keepNext w:val="true"/>
        <w:keepLines/>
        <w:widowControl/>
        <w:pBdr>
          <w:bottom w:val="single" w:sz="6" w:space="5" w:color="8AB2BF"/>
        </w:pBdr>
        <w:jc w:val="left"/>
        <w:rPr/>
      </w:pPr>
      <w:bookmarkStart w:id="84" w:name="__RefHeading___Toc8231_528838595"/>
      <w:bookmarkEnd w:id="84"/>
      <w:r>
        <w:rPr/>
        <w:t>5. System Architecture</w:t>
      </w:r>
    </w:p>
    <w:p>
      <w:pPr>
        <w:pStyle w:val="Heading2"/>
        <w:keepNext w:val="true"/>
        <w:keepLines/>
        <w:widowControl/>
        <w:rPr/>
      </w:pPr>
      <w:bookmarkStart w:id="85" w:name="__RefHeading___Toc8233_528838595"/>
      <w:bookmarkEnd w:id="85"/>
      <w:r>
        <w:rPr/>
        <w:t>5.1 Overview</w:t>
      </w:r>
    </w:p>
    <w:p>
      <w:pPr>
        <w:pStyle w:val="Normal"/>
        <w:rPr/>
      </w:pPr>
      <w:r>
        <w:rPr/>
        <w:t>Voxonomics is designed as a modular system rather than a single contract or data feed. The architecture contains six operational layers:</w:t>
      </w:r>
    </w:p>
    <w:p>
      <w:pPr>
        <w:pStyle w:val="Compact"/>
        <w:widowControl/>
        <w:numPr>
          <w:ilvl w:val="0"/>
          <w:numId w:val="817"/>
        </w:numPr>
        <w:rPr/>
      </w:pPr>
      <w:r>
        <w:rPr>
          <w:b/>
          <w:bCs/>
        </w:rPr>
        <w:t>Public data layer</w:t>
      </w:r>
      <w:r>
        <w:rPr/>
        <w:t xml:space="preserve"> — raw blockchain nodes, RPC services, event logs, indexers, subgraphs and verified external datasets.</w:t>
      </w:r>
    </w:p>
    <w:p>
      <w:pPr>
        <w:pStyle w:val="Compact"/>
        <w:widowControl/>
        <w:numPr>
          <w:ilvl w:val="0"/>
          <w:numId w:val="818"/>
        </w:numPr>
        <w:rPr/>
      </w:pPr>
      <w:r>
        <w:rPr>
          <w:b/>
          <w:bCs/>
        </w:rPr>
        <w:t>Adapter layer</w:t>
      </w:r>
      <w:r>
        <w:rPr/>
        <w:t xml:space="preserve"> — chain-specific extraction and transformation code mapped to universal metric definitions.</w:t>
      </w:r>
    </w:p>
    <w:p>
      <w:pPr>
        <w:pStyle w:val="Compact"/>
        <w:widowControl/>
        <w:numPr>
          <w:ilvl w:val="0"/>
          <w:numId w:val="819"/>
        </w:numPr>
        <w:rPr/>
      </w:pPr>
      <w:r>
        <w:rPr>
          <w:b/>
          <w:bCs/>
        </w:rPr>
        <w:t>Measurement engine</w:t>
      </w:r>
      <w:r>
        <w:rPr/>
        <w:t xml:space="preserve"> — normalisation, weighting, smoothing, validation and index aggregation.</w:t>
      </w:r>
    </w:p>
    <w:p>
      <w:pPr>
        <w:pStyle w:val="Compact"/>
        <w:widowControl/>
        <w:numPr>
          <w:ilvl w:val="0"/>
          <w:numId w:val="820"/>
        </w:numPr>
        <w:rPr/>
      </w:pPr>
      <w:r>
        <w:rPr>
          <w:b/>
          <w:bCs/>
        </w:rPr>
        <w:t>Analytical layer</w:t>
      </w:r>
      <w:r>
        <w:rPr/>
        <w:t xml:space="preserve"> — VTS, ERU, VRI, Opportunity Gap, VRS and VCS.</w:t>
      </w:r>
    </w:p>
    <w:p>
      <w:pPr>
        <w:pStyle w:val="Compact"/>
        <w:widowControl/>
        <w:numPr>
          <w:ilvl w:val="0"/>
          <w:numId w:val="821"/>
        </w:numPr>
        <w:rPr/>
      </w:pPr>
      <w:r>
        <w:rPr>
          <w:b/>
          <w:bCs/>
        </w:rPr>
        <w:t>Transparency and governance layer</w:t>
      </w:r>
      <w:r>
        <w:rPr/>
        <w:t xml:space="preserve"> — VoxUI, audit records, disputes, versioning and DAO processes.</w:t>
      </w:r>
    </w:p>
    <w:p>
      <w:pPr>
        <w:pStyle w:val="Compact"/>
        <w:widowControl/>
        <w:numPr>
          <w:ilvl w:val="0"/>
          <w:numId w:val="822"/>
        </w:numPr>
        <w:rPr/>
      </w:pPr>
      <w:r>
        <w:rPr>
          <w:b/>
          <w:bCs/>
        </w:rPr>
        <w:t>Optional economic layer</w:t>
      </w:r>
      <w:r>
        <w:rPr/>
        <w:t xml:space="preserve"> — VOX units, V-FOREX reference rates and settlement modules.</w:t>
      </w:r>
    </w:p>
    <w:p>
      <w:pPr>
        <w:pStyle w:val="Normal"/>
        <w:rPr/>
      </w:pPr>
      <w:bookmarkStart w:id="86" w:name="overview"/>
      <w:r>
        <w:rPr/>
        <w:t>The layers are deliberately separable. The measurement and analytical layers can operate before any DAO token, VOX asset or market exists.</w:t>
      </w:r>
      <w:bookmarkEnd w:id="86"/>
    </w:p>
    <w:p>
      <w:pPr>
        <w:pStyle w:val="Heading2"/>
        <w:keepNext w:val="true"/>
        <w:keepLines/>
        <w:widowControl/>
        <w:rPr/>
      </w:pPr>
      <w:bookmarkStart w:id="87" w:name="__RefHeading___Toc8235_528838595"/>
      <w:bookmarkEnd w:id="87"/>
      <w:r>
        <w:rPr/>
        <w:t>5.2 Public data layer</w:t>
      </w:r>
    </w:p>
    <w:p>
      <w:pPr>
        <w:pStyle w:val="Normal"/>
        <w:rPr/>
      </w:pPr>
      <w:r>
        <w:rPr/>
        <w:t>The public data layer acquires observable facts without interpreting them. Typical observations include blocks, transactions, receipts, events, balances, validator or miner records, governance events, DEX reserves, trade execution, bridge messages, security incidents and historical snapshots.</w:t>
      </w:r>
    </w:p>
    <w:p>
      <w:pPr>
        <w:pStyle w:val="BodyText"/>
        <w:widowControl/>
        <w:rPr/>
      </w:pPr>
      <w:r>
        <w:rPr/>
        <w:t>A data source is acceptable when it provides sufficient provenance to identify:</w:t>
      </w:r>
    </w:p>
    <w:p>
      <w:pPr>
        <w:pStyle w:val="Compact"/>
        <w:widowControl/>
        <w:numPr>
          <w:ilvl w:val="0"/>
          <w:numId w:val="823"/>
        </w:numPr>
        <w:rPr/>
      </w:pPr>
      <w:r>
        <w:rPr/>
        <w:t>the network and chain identifier;</w:t>
      </w:r>
    </w:p>
    <w:p>
      <w:pPr>
        <w:pStyle w:val="Compact"/>
        <w:widowControl/>
        <w:numPr>
          <w:ilvl w:val="0"/>
          <w:numId w:val="824"/>
        </w:numPr>
        <w:rPr/>
      </w:pPr>
      <w:r>
        <w:rPr/>
        <w:t>the observed block height or time range;</w:t>
      </w:r>
    </w:p>
    <w:p>
      <w:pPr>
        <w:pStyle w:val="Compact"/>
        <w:widowControl/>
        <w:numPr>
          <w:ilvl w:val="0"/>
          <w:numId w:val="825"/>
        </w:numPr>
        <w:rPr/>
      </w:pPr>
      <w:r>
        <w:rPr/>
        <w:t>the extraction method;</w:t>
      </w:r>
    </w:p>
    <w:p>
      <w:pPr>
        <w:pStyle w:val="Compact"/>
        <w:widowControl/>
        <w:numPr>
          <w:ilvl w:val="0"/>
          <w:numId w:val="826"/>
        </w:numPr>
        <w:rPr/>
      </w:pPr>
      <w:r>
        <w:rPr/>
        <w:t>units and decimal conventions;</w:t>
      </w:r>
    </w:p>
    <w:p>
      <w:pPr>
        <w:pStyle w:val="Compact"/>
        <w:widowControl/>
        <w:numPr>
          <w:ilvl w:val="0"/>
          <w:numId w:val="827"/>
        </w:numPr>
        <w:rPr/>
      </w:pPr>
      <w:r>
        <w:rPr/>
        <w:t>whether the observation is raw, aggregated or estimated;</w:t>
      </w:r>
    </w:p>
    <w:p>
      <w:pPr>
        <w:pStyle w:val="Compact"/>
        <w:widowControl/>
        <w:numPr>
          <w:ilvl w:val="0"/>
          <w:numId w:val="828"/>
        </w:numPr>
        <w:rPr/>
      </w:pPr>
      <w:r>
        <w:rPr/>
        <w:t>revision policy and known limitations.</w:t>
      </w:r>
    </w:p>
    <w:p>
      <w:pPr>
        <w:pStyle w:val="Normal"/>
        <w:rPr/>
      </w:pPr>
      <w:bookmarkStart w:id="88" w:name="public-data-layer"/>
      <w:r>
        <w:rPr/>
        <w:t>Direct node and RPC data are preferred for facts that can be computed deterministically. Indexers and specialised providers are used where complete historical reconstruction would otherwise be impractical. No single provider is treated as an unquestionable authority.</w:t>
      </w:r>
      <w:bookmarkEnd w:id="88"/>
    </w:p>
    <w:p>
      <w:pPr>
        <w:pStyle w:val="Heading2"/>
        <w:keepNext w:val="true"/>
        <w:keepLines/>
        <w:widowControl/>
        <w:rPr/>
      </w:pPr>
      <w:bookmarkStart w:id="89" w:name="__RefHeading___Toc8237_528838595"/>
      <w:bookmarkEnd w:id="89"/>
      <w:r>
        <w:rPr/>
        <w:t>5.3 Adapter layer</w:t>
      </w:r>
    </w:p>
    <w:p>
      <w:pPr>
        <w:pStyle w:val="Normal"/>
        <w:rPr/>
      </w:pPr>
      <w:r>
        <w:rPr/>
        <w:t>An adapter translates a network’s architecture into the canonical metric registry. Every adapter must include:</w:t>
      </w:r>
    </w:p>
    <w:p>
      <w:pPr>
        <w:pStyle w:val="Compact"/>
        <w:widowControl/>
        <w:numPr>
          <w:ilvl w:val="0"/>
          <w:numId w:val="829"/>
        </w:numPr>
        <w:rPr/>
      </w:pPr>
      <w:r>
        <w:rPr/>
        <w:t>network identity and canonical chain scope;</w:t>
      </w:r>
    </w:p>
    <w:p>
      <w:pPr>
        <w:pStyle w:val="Compact"/>
        <w:widowControl/>
        <w:numPr>
          <w:ilvl w:val="0"/>
          <w:numId w:val="830"/>
        </w:numPr>
        <w:rPr/>
      </w:pPr>
      <w:r>
        <w:rPr/>
        <w:t>supported metric definitions;</w:t>
      </w:r>
    </w:p>
    <w:p>
      <w:pPr>
        <w:pStyle w:val="Compact"/>
        <w:widowControl/>
        <w:numPr>
          <w:ilvl w:val="0"/>
          <w:numId w:val="831"/>
        </w:numPr>
        <w:rPr/>
      </w:pPr>
      <w:r>
        <w:rPr/>
        <w:t>source hierarchy and fallback sources;</w:t>
      </w:r>
    </w:p>
    <w:p>
      <w:pPr>
        <w:pStyle w:val="Compact"/>
        <w:widowControl/>
        <w:numPr>
          <w:ilvl w:val="0"/>
          <w:numId w:val="832"/>
        </w:numPr>
        <w:rPr/>
      </w:pPr>
      <w:r>
        <w:rPr/>
        <w:t>extraction queries or code;</w:t>
      </w:r>
    </w:p>
    <w:p>
      <w:pPr>
        <w:pStyle w:val="Compact"/>
        <w:widowControl/>
        <w:numPr>
          <w:ilvl w:val="0"/>
          <w:numId w:val="833"/>
        </w:numPr>
        <w:rPr/>
      </w:pPr>
      <w:r>
        <w:rPr/>
        <w:t>unit conversions;</w:t>
      </w:r>
    </w:p>
    <w:p>
      <w:pPr>
        <w:pStyle w:val="Compact"/>
        <w:widowControl/>
        <w:numPr>
          <w:ilvl w:val="0"/>
          <w:numId w:val="834"/>
        </w:numPr>
        <w:rPr/>
      </w:pPr>
      <w:r>
        <w:rPr/>
        <w:t>exclusions and known blind spots;</w:t>
      </w:r>
    </w:p>
    <w:p>
      <w:pPr>
        <w:pStyle w:val="Compact"/>
        <w:widowControl/>
        <w:numPr>
          <w:ilvl w:val="0"/>
          <w:numId w:val="835"/>
        </w:numPr>
        <w:rPr/>
      </w:pPr>
      <w:r>
        <w:rPr/>
        <w:t>test fixtures and expected outputs;</w:t>
      </w:r>
    </w:p>
    <w:p>
      <w:pPr>
        <w:pStyle w:val="Compact"/>
        <w:widowControl/>
        <w:numPr>
          <w:ilvl w:val="0"/>
          <w:numId w:val="836"/>
        </w:numPr>
        <w:rPr/>
      </w:pPr>
      <w:r>
        <w:rPr/>
        <w:t>version number and maintainers;</w:t>
      </w:r>
    </w:p>
    <w:p>
      <w:pPr>
        <w:pStyle w:val="Compact"/>
        <w:widowControl/>
        <w:numPr>
          <w:ilvl w:val="0"/>
          <w:numId w:val="837"/>
        </w:numPr>
        <w:rPr/>
      </w:pPr>
      <w:r>
        <w:rPr/>
        <w:t>reproducible build and execution instructions.</w:t>
      </w:r>
    </w:p>
    <w:p>
      <w:pPr>
        <w:pStyle w:val="Normal"/>
        <w:rPr/>
      </w:pPr>
      <w:bookmarkStart w:id="90" w:name="adapter-layer"/>
      <w:r>
        <w:rPr/>
        <w:t>Adapters are public and reviewable. Certification means the adapter follows the standard; it does not imply endorsement of the measured network.</w:t>
      </w:r>
      <w:bookmarkEnd w:id="90"/>
    </w:p>
    <w:p>
      <w:pPr>
        <w:pStyle w:val="Heading2"/>
        <w:keepNext w:val="true"/>
        <w:keepLines/>
        <w:widowControl/>
        <w:rPr/>
      </w:pPr>
      <w:bookmarkStart w:id="91" w:name="__RefHeading___Toc8239_528838595"/>
      <w:bookmarkEnd w:id="91"/>
      <w:r>
        <w:rPr/>
        <w:t>5.4 Measurement engine</w:t>
      </w:r>
    </w:p>
    <w:p>
      <w:pPr>
        <w:pStyle w:val="Normal"/>
        <w:rPr/>
      </w:pPr>
      <w:r>
        <w:rPr/>
        <w:t>The measurement engine receives validated observations and applies deterministic steps:</w:t>
      </w:r>
    </w:p>
    <w:p>
      <w:pPr>
        <w:pStyle w:val="Compact"/>
        <w:widowControl/>
        <w:numPr>
          <w:ilvl w:val="0"/>
          <w:numId w:val="838"/>
        </w:numPr>
        <w:rPr/>
      </w:pPr>
      <w:r>
        <w:rPr/>
        <w:t>direction and unit transformations;</w:t>
      </w:r>
    </w:p>
    <w:p>
      <w:pPr>
        <w:pStyle w:val="Compact"/>
        <w:widowControl/>
        <w:numPr>
          <w:ilvl w:val="0"/>
          <w:numId w:val="839"/>
        </w:numPr>
        <w:rPr/>
      </w:pPr>
      <w:r>
        <w:rPr/>
        <w:t>quality filters and source reconciliation;</w:t>
      </w:r>
    </w:p>
    <w:p>
      <w:pPr>
        <w:pStyle w:val="Compact"/>
        <w:widowControl/>
        <w:numPr>
          <w:ilvl w:val="0"/>
          <w:numId w:val="840"/>
        </w:numPr>
        <w:rPr/>
      </w:pPr>
      <w:r>
        <w:rPr/>
        <w:t>robust normalisation;</w:t>
      </w:r>
    </w:p>
    <w:p>
      <w:pPr>
        <w:pStyle w:val="Compact"/>
        <w:widowControl/>
        <w:numPr>
          <w:ilvl w:val="0"/>
          <w:numId w:val="841"/>
        </w:numPr>
        <w:rPr/>
      </w:pPr>
      <w:r>
        <w:rPr/>
        <w:t>time smoothing and persistence tests;</w:t>
      </w:r>
    </w:p>
    <w:p>
      <w:pPr>
        <w:pStyle w:val="Compact"/>
        <w:widowControl/>
        <w:numPr>
          <w:ilvl w:val="0"/>
          <w:numId w:val="842"/>
        </w:numPr>
        <w:rPr/>
      </w:pPr>
      <w:r>
        <w:rPr/>
        <w:t>submetric aggregation;</w:t>
      </w:r>
    </w:p>
    <w:p>
      <w:pPr>
        <w:pStyle w:val="Compact"/>
        <w:widowControl/>
        <w:numPr>
          <w:ilvl w:val="0"/>
          <w:numId w:val="843"/>
        </w:numPr>
        <w:rPr/>
      </w:pPr>
      <w:r>
        <w:rPr/>
        <w:t>parent-index aggregation;</w:t>
      </w:r>
    </w:p>
    <w:p>
      <w:pPr>
        <w:pStyle w:val="Compact"/>
        <w:widowControl/>
        <w:numPr>
          <w:ilvl w:val="0"/>
          <w:numId w:val="844"/>
        </w:numPr>
        <w:rPr/>
      </w:pPr>
      <w:r>
        <w:rPr/>
        <w:t>coverage and confidence calculation;</w:t>
      </w:r>
    </w:p>
    <w:p>
      <w:pPr>
        <w:pStyle w:val="Compact"/>
        <w:widowControl/>
        <w:numPr>
          <w:ilvl w:val="0"/>
          <w:numId w:val="845"/>
        </w:numPr>
        <w:rPr/>
      </w:pPr>
      <w:r>
        <w:rPr/>
        <w:t>publication of results and evidence.</w:t>
      </w:r>
    </w:p>
    <w:p>
      <w:pPr>
        <w:pStyle w:val="Normal"/>
        <w:rPr/>
      </w:pPr>
      <w:r>
        <w:rPr/>
        <w:drawing>
          <wp:inline distT="0" distB="0" distL="0" distR="0">
            <wp:extent cx="5742940" cy="391160"/>
            <wp:effectExtent l="0" t="0" r="0" b="0"/>
            <wp:docPr id="4" name="Image2" descr="The canonical data path from raw observation to published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The canonical data path from raw observation to published score."/>
                    <pic:cNvPicPr>
                      <a:picLocks noChangeAspect="1" noChangeArrowheads="1"/>
                    </pic:cNvPicPr>
                  </pic:nvPicPr>
                  <pic:blipFill>
                    <a:blip r:embed="rId5"/>
                    <a:stretch>
                      <a:fillRect/>
                    </a:stretch>
                  </pic:blipFill>
                  <pic:spPr bwMode="auto">
                    <a:xfrm>
                      <a:off x="0" y="0"/>
                      <a:ext cx="5742940" cy="391160"/>
                    </a:xfrm>
                    <a:prstGeom prst="rect">
                      <a:avLst/>
                    </a:prstGeom>
                    <a:noFill/>
                  </pic:spPr>
                </pic:pic>
              </a:graphicData>
            </a:graphic>
          </wp:inline>
        </w:drawing>
      </w:r>
    </w:p>
    <w:p>
      <w:pPr>
        <w:pStyle w:val="Normal"/>
        <w:rPr/>
      </w:pPr>
      <w:bookmarkStart w:id="92" w:name="measurement-engine"/>
      <w:r>
        <w:rPr/>
        <w:t>The canonical data path from raw observation to published score.</w:t>
      </w:r>
      <w:bookmarkEnd w:id="92"/>
    </w:p>
    <w:p>
      <w:pPr>
        <w:pStyle w:val="Heading2"/>
        <w:keepNext w:val="true"/>
        <w:keepLines/>
        <w:widowControl/>
        <w:rPr/>
      </w:pPr>
      <w:bookmarkStart w:id="93" w:name="__RefHeading___Toc8241_528838595"/>
      <w:bookmarkEnd w:id="93"/>
      <w:r>
        <w:rPr/>
        <w:t>5.5 Analytical layer</w:t>
      </w:r>
    </w:p>
    <w:p>
      <w:pPr>
        <w:pStyle w:val="Normal"/>
        <w:rPr/>
      </w:pPr>
      <w:r>
        <w:rPr/>
        <w:t>The analytical layer does not replace the underlying indices. It converts them into distinct decision tools: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Output</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Purpose</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VTS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Intrinsic network economic measurement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stronger relative to ERU</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 of fundamentals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greater recognition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Opportunity Gap</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Difference between intrinsic measurement and recognition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suggests under-recognition; negative suggests over-recognition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Aggregate structural risk</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riskier</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VCS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Confidence in evidence and calculation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more reliable</w:t>
            </w:r>
            <w:bookmarkStart w:id="94" w:name="analytical-layer"/>
            <w:bookmarkEnd w:id="94"/>
          </w:p>
        </w:tc>
      </w:tr>
    </w:tbl>
    <w:p>
      <w:pPr>
        <w:pStyle w:val="Heading2"/>
        <w:keepNext w:val="true"/>
        <w:keepLines/>
        <w:widowControl/>
        <w:rPr/>
      </w:pPr>
      <w:bookmarkStart w:id="95" w:name="__RefHeading___Toc8243_528838595"/>
      <w:bookmarkEnd w:id="95"/>
      <w:r>
        <w:rPr/>
        <w:t>5.6 Transparency and governance layer</w:t>
      </w:r>
    </w:p>
    <w:p>
      <w:pPr>
        <w:pStyle w:val="Normal"/>
        <w:rPr/>
      </w:pPr>
      <w:r>
        <w:rPr/>
        <w:t>VoxUI exposes current and historical scores, source observations, methodology versions, calculation traces, confidence bands and governance decisions. The DAO maintains the standard and adjudicates disputes through published evidence rather than private discretion.</w:t>
      </w:r>
    </w:p>
    <w:p>
      <w:pPr>
        <w:pStyle w:val="Heading2"/>
        <w:keepNext w:val="true"/>
        <w:keepLines/>
        <w:widowControl/>
        <w:rPr/>
      </w:pPr>
      <w:bookmarkStart w:id="96" w:name="__RefHeading___Toc8245_528838595"/>
      <w:bookmarkEnd w:id="96"/>
      <w:r>
        <w:rPr/>
        <w:t>5.7 Optional economic layer</w:t>
      </w:r>
    </w:p>
    <w:p>
      <w:pPr>
        <w:pStyle w:val="Normal"/>
        <w:rPr/>
      </w:pPr>
      <w:bookmarkStart w:id="97" w:name="optional-economic-layer"/>
      <w:bookmarkStart w:id="98" w:name="system-architecture"/>
      <w:r>
        <w:rPr/>
        <w:t>The optional economic layer translates VTS into VOX units and cross-network reference ratios. It is not required for the framework to deliver value. Its activation is gated by higher standards because issuance, market liquidity, bridges and settlement introduce risks that do not exist in a read-only analytical system.</w:t>
      </w:r>
      <w:bookmarkEnd w:id="97"/>
      <w:bookmarkEnd w:id="98"/>
    </w:p>
    <w:p>
      <w:pPr>
        <w:pStyle w:val="Heading2"/>
        <w:rPr/>
      </w:pPr>
      <w:r>
        <w:rPr/>
        <w:t>5.8 Evidence infrastructure in Edition 3.2</w:t>
      </w:r>
    </w:p>
    <w:p>
      <w:pPr>
        <w:pStyle w:val="Normal"/>
        <w:rPr/>
      </w:pPr>
      <w:r>
        <w:rPr/>
        <w:t>Edition 3.2 adds a governed evidence infrastructure beneath the existing public-data, adapter and measurement layers. Collection alone is insufficient: authoritative source evidence required for reproducibility must be preserved, provenance-connected, readable through a canonical access boundary and governed through explicit lifecycle states. Part IX defines this architecture without altering the economic definitions above it.</w:t>
      </w:r>
    </w:p>
    <w:p>
      <w:pPr>
        <w:pStyle w:val="Heading1"/>
        <w:keepNext w:val="true"/>
        <w:keepLines/>
        <w:widowControl/>
        <w:pBdr>
          <w:bottom w:val="single" w:sz="6" w:space="5" w:color="8AB2BF"/>
        </w:pBdr>
        <w:jc w:val="left"/>
        <w:rPr/>
      </w:pPr>
      <w:bookmarkStart w:id="99" w:name="__RefHeading___Toc8247_528838595"/>
      <w:bookmarkEnd w:id="99"/>
      <w:r>
        <w:rPr/>
        <w:t>6. Data-Source Hierarchy and Provenance</w:t>
      </w:r>
    </w:p>
    <w:p>
      <w:pPr>
        <w:pStyle w:val="Heading2"/>
        <w:keepNext w:val="true"/>
        <w:keepLines/>
        <w:widowControl/>
        <w:rPr/>
      </w:pPr>
      <w:bookmarkStart w:id="100" w:name="__RefHeading___Toc8249_528838595"/>
      <w:bookmarkEnd w:id="100"/>
      <w:r>
        <w:rPr/>
        <w:t>6.1 Source hierarchy</w:t>
      </w:r>
    </w:p>
    <w:p>
      <w:pPr>
        <w:pStyle w:val="Normal"/>
        <w:rPr/>
      </w:pPr>
      <w:r>
        <w:rPr/>
        <w:t>Voxonomics uses a hybrid ingestion system. No single category is sufficient for every network or metric.</w:t>
      </w:r>
    </w:p>
    <w:p>
      <w:pPr>
        <w:pStyle w:val="BodyText"/>
        <w:widowControl/>
        <w:rPr/>
      </w:pPr>
      <w:r>
        <w:rPr/>
        <w:t>The default hierarchy is:</w:t>
      </w:r>
    </w:p>
    <w:p>
      <w:pPr>
        <w:pStyle w:val="Compact"/>
        <w:widowControl/>
        <w:numPr>
          <w:ilvl w:val="0"/>
          <w:numId w:val="846"/>
        </w:numPr>
        <w:rPr/>
      </w:pPr>
      <w:r>
        <w:rPr>
          <w:b/>
          <w:bCs/>
        </w:rPr>
        <w:t>Canonical chain data</w:t>
      </w:r>
      <w:r>
        <w:rPr/>
        <w:t xml:space="preserve"> — archival nodes, RPC methods, state proofs, logs and consensus records.</w:t>
      </w:r>
    </w:p>
    <w:p>
      <w:pPr>
        <w:pStyle w:val="Compact"/>
        <w:widowControl/>
        <w:numPr>
          <w:ilvl w:val="0"/>
          <w:numId w:val="847"/>
        </w:numPr>
        <w:rPr/>
      </w:pPr>
      <w:r>
        <w:rPr>
          <w:b/>
          <w:bCs/>
        </w:rPr>
        <w:t>Open-source deterministic indexers</w:t>
      </w:r>
      <w:r>
        <w:rPr/>
        <w:t xml:space="preserve"> — reproducible indexing software and public datasets.</w:t>
      </w:r>
    </w:p>
    <w:p>
      <w:pPr>
        <w:pStyle w:val="Compact"/>
        <w:widowControl/>
        <w:numPr>
          <w:ilvl w:val="0"/>
          <w:numId w:val="848"/>
        </w:numPr>
        <w:rPr/>
      </w:pPr>
      <w:r>
        <w:rPr>
          <w:b/>
          <w:bCs/>
        </w:rPr>
        <w:t>Protocol and application subgraphs or APIs</w:t>
      </w:r>
      <w:r>
        <w:rPr/>
        <w:t xml:space="preserve"> — used where contract-level semantics require specialised interpretation.</w:t>
      </w:r>
    </w:p>
    <w:p>
      <w:pPr>
        <w:pStyle w:val="Compact"/>
        <w:widowControl/>
        <w:numPr>
          <w:ilvl w:val="0"/>
          <w:numId w:val="849"/>
        </w:numPr>
        <w:rPr/>
      </w:pPr>
      <w:r>
        <w:rPr>
          <w:b/>
          <w:bCs/>
        </w:rPr>
        <w:t>Cross-chain aggregators</w:t>
      </w:r>
      <w:r>
        <w:rPr/>
        <w:t xml:space="preserve"> — used for harmonised DeFi, fee, stablecoin, bridge or market data when methodology is public.</w:t>
      </w:r>
    </w:p>
    <w:p>
      <w:pPr>
        <w:pStyle w:val="Compact"/>
        <w:widowControl/>
        <w:numPr>
          <w:ilvl w:val="0"/>
          <w:numId w:val="850"/>
        </w:numPr>
        <w:rPr/>
      </w:pPr>
      <w:r>
        <w:rPr>
          <w:b/>
          <w:bCs/>
        </w:rPr>
        <w:t>Governance-approved specialist providers</w:t>
      </w:r>
      <w:r>
        <w:rPr/>
        <w:t xml:space="preserve"> — used for difficult historical or security datasets.</w:t>
      </w:r>
    </w:p>
    <w:p>
      <w:pPr>
        <w:pStyle w:val="Compact"/>
        <w:widowControl/>
        <w:numPr>
          <w:ilvl w:val="0"/>
          <w:numId w:val="851"/>
        </w:numPr>
        <w:rPr/>
      </w:pPr>
      <w:r>
        <w:rPr>
          <w:b/>
          <w:bCs/>
        </w:rPr>
        <w:t>Premium analytics</w:t>
      </w:r>
      <w:r>
        <w:rPr/>
        <w:t xml:space="preserve"> — optional corroboration, never the sole inaccessible foundation of a public score.</w:t>
      </w:r>
    </w:p>
    <w:p>
      <w:pPr>
        <w:pStyle w:val="Normal"/>
        <w:rPr/>
      </w:pPr>
      <w:bookmarkStart w:id="101" w:name="source-hierarchy"/>
      <w:r>
        <w:rPr/>
        <w:t>DefiLlama, The Graph, CoinGecko, public explorers, chain-specific RPC interfaces and decentralised oracle networks are examples of components that may serve different parts of this hierarchy [3–8]. Their inclusion is not permanent or exclusive; each source is evaluated against the data standard.</w:t>
      </w:r>
      <w:bookmarkEnd w:id="101"/>
    </w:p>
    <w:p>
      <w:pPr>
        <w:pStyle w:val="Heading2"/>
        <w:keepNext w:val="true"/>
        <w:keepLines/>
        <w:widowControl/>
        <w:rPr/>
      </w:pPr>
      <w:bookmarkStart w:id="102" w:name="__RefHeading___Toc8251_528838595"/>
      <w:bookmarkEnd w:id="102"/>
      <w:r>
        <w:rPr/>
        <w:t>6.2 Source independence</w:t>
      </w:r>
    </w:p>
    <w:p>
      <w:pPr>
        <w:pStyle w:val="Normal"/>
        <w:rPr/>
      </w:pPr>
      <w:r>
        <w:rPr/>
        <w:t>Multiple API endpoints do not necessarily represent independent evidence. Two providers may copy the same upstream index. The framework therefore distinguishes:</w:t>
      </w:r>
    </w:p>
    <w:p>
      <w:pPr>
        <w:pStyle w:val="Compact"/>
        <w:widowControl/>
        <w:numPr>
          <w:ilvl w:val="0"/>
          <w:numId w:val="852"/>
        </w:numPr>
        <w:rPr/>
      </w:pPr>
      <w:r>
        <w:rPr>
          <w:b/>
          <w:bCs/>
        </w:rPr>
        <w:t>transport redundancy</w:t>
      </w:r>
      <w:r>
        <w:rPr/>
        <w:t xml:space="preserve"> — multiple endpoints serving the same underlying data;</w:t>
      </w:r>
    </w:p>
    <w:p>
      <w:pPr>
        <w:pStyle w:val="Compact"/>
        <w:widowControl/>
        <w:numPr>
          <w:ilvl w:val="0"/>
          <w:numId w:val="853"/>
        </w:numPr>
        <w:rPr/>
      </w:pPr>
      <w:r>
        <w:rPr>
          <w:b/>
          <w:bCs/>
        </w:rPr>
        <w:t>methodological independence</w:t>
      </w:r>
      <w:r>
        <w:rPr/>
        <w:t xml:space="preserve"> — independently generated datasets or calculations;</w:t>
      </w:r>
    </w:p>
    <w:p>
      <w:pPr>
        <w:pStyle w:val="Compact"/>
        <w:widowControl/>
        <w:numPr>
          <w:ilvl w:val="0"/>
          <w:numId w:val="854"/>
        </w:numPr>
        <w:rPr/>
      </w:pPr>
      <w:r>
        <w:rPr>
          <w:b/>
          <w:bCs/>
        </w:rPr>
        <w:t>cryptographic verifiability</w:t>
      </w:r>
      <w:r>
        <w:rPr/>
        <w:t xml:space="preserve"> — observations that can be proven directly against chain state.</w:t>
      </w:r>
    </w:p>
    <w:p>
      <w:pPr>
        <w:pStyle w:val="Normal"/>
        <w:rPr/>
      </w:pPr>
      <w:bookmarkStart w:id="103" w:name="source-independence"/>
      <w:r>
        <w:rPr/>
        <w:t>For critical metrics, confidence increases when observations are both independently generated and cryptographically or deterministically verifiable.</w:t>
      </w:r>
      <w:bookmarkEnd w:id="103"/>
    </w:p>
    <w:p>
      <w:pPr>
        <w:pStyle w:val="Heading2"/>
        <w:keepNext w:val="true"/>
        <w:keepLines/>
        <w:widowControl/>
        <w:rPr/>
      </w:pPr>
      <w:bookmarkStart w:id="104" w:name="__RefHeading___Toc8253_528838595"/>
      <w:bookmarkEnd w:id="104"/>
      <w:r>
        <w:rPr/>
        <w:t>6.3 Provenance record</w:t>
      </w:r>
    </w:p>
    <w:p>
      <w:pPr>
        <w:pStyle w:val="Normal"/>
        <w:rPr/>
      </w:pPr>
      <w:r>
        <w:rPr/>
        <w:t>Every stored observation must carry a provenance record:</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Requirement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network_id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identifier and chain ID where applicable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metric_id</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Versioned canonical submetric identifier</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period_start, period_end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Exact observation window</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block_start, block_end</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 bounds when available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source_id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Provider, node, indexer or contract source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query_hash</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Hash of extraction query or code version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raw_value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Unmodified observation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unit</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Explicit unit and decimal convention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transform_version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 of post-processing logic</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retrieved_at</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Timestamp of acquisition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quality_flags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Missing, estimated, revised, disputed or anomalous status</w:t>
            </w:r>
            <w:bookmarkStart w:id="105" w:name="provenance-record"/>
            <w:bookmarkEnd w:id="105"/>
          </w:p>
        </w:tc>
      </w:tr>
    </w:tbl>
    <w:p>
      <w:pPr>
        <w:pStyle w:val="Heading2"/>
        <w:keepNext w:val="true"/>
        <w:keepLines/>
        <w:widowControl/>
        <w:rPr/>
      </w:pPr>
      <w:bookmarkStart w:id="106" w:name="__RefHeading___Toc8255_528838595"/>
      <w:bookmarkEnd w:id="106"/>
      <w:r>
        <w:rPr/>
        <w:t>6.4 Revision policy</w:t>
      </w:r>
    </w:p>
    <w:p>
      <w:pPr>
        <w:pStyle w:val="Normal"/>
        <w:rPr/>
      </w:pPr>
      <w:r>
        <w:rPr/>
        <w:t>Some datasets revise historical values because of improved labelling, chain reorganisations, contract classification or data-provider corrections. Voxonomics records revisions as new observation versions. It never overwrites the prior value without trace.</w:t>
      </w:r>
    </w:p>
    <w:p>
      <w:pPr>
        <w:pStyle w:val="BodyText"/>
        <w:widowControl/>
        <w:rPr/>
      </w:pPr>
      <w:r>
        <w:rPr/>
        <w:t>A revised value must show:</w:t>
      </w:r>
    </w:p>
    <w:p>
      <w:pPr>
        <w:pStyle w:val="Compact"/>
        <w:widowControl/>
        <w:numPr>
          <w:ilvl w:val="0"/>
          <w:numId w:val="855"/>
        </w:numPr>
        <w:rPr/>
      </w:pPr>
      <w:r>
        <w:rPr/>
        <w:t>prior and new value;</w:t>
      </w:r>
    </w:p>
    <w:p>
      <w:pPr>
        <w:pStyle w:val="Compact"/>
        <w:widowControl/>
        <w:numPr>
          <w:ilvl w:val="0"/>
          <w:numId w:val="856"/>
        </w:numPr>
        <w:rPr/>
      </w:pPr>
      <w:r>
        <w:rPr/>
        <w:t>reason for revision;</w:t>
      </w:r>
    </w:p>
    <w:p>
      <w:pPr>
        <w:pStyle w:val="Compact"/>
        <w:widowControl/>
        <w:numPr>
          <w:ilvl w:val="0"/>
          <w:numId w:val="857"/>
        </w:numPr>
        <w:rPr/>
      </w:pPr>
      <w:r>
        <w:rPr/>
        <w:t>affected dates and networks;</w:t>
      </w:r>
    </w:p>
    <w:p>
      <w:pPr>
        <w:pStyle w:val="Compact"/>
        <w:widowControl/>
        <w:numPr>
          <w:ilvl w:val="0"/>
          <w:numId w:val="858"/>
        </w:numPr>
        <w:rPr/>
      </w:pPr>
      <w:r>
        <w:rPr/>
        <w:t>source or adapter version;</w:t>
      </w:r>
    </w:p>
    <w:p>
      <w:pPr>
        <w:pStyle w:val="Compact"/>
        <w:widowControl/>
        <w:numPr>
          <w:ilvl w:val="0"/>
          <w:numId w:val="859"/>
        </w:numPr>
        <w:rPr/>
      </w:pPr>
      <w:r>
        <w:rPr/>
        <w:t>effect on parent indices and headline outputs.</w:t>
      </w:r>
    </w:p>
    <w:p>
      <w:pPr>
        <w:pStyle w:val="Heading2"/>
        <w:keepNext w:val="true"/>
        <w:keepLines/>
        <w:widowControl/>
        <w:rPr/>
      </w:pPr>
      <w:bookmarkStart w:id="107" w:name="__RefHeading___Toc8257_528838595"/>
      <w:bookmarkEnd w:id="107"/>
      <w:r>
        <w:rPr/>
        <w:t>6.5 Data freshness</w:t>
      </w:r>
    </w:p>
    <w:p>
      <w:pPr>
        <w:pStyle w:val="Normal"/>
        <w:rPr/>
      </w:pPr>
      <w:r>
        <w:rPr/>
        <w:t>Freshness requirements depend on the metric:</w:t>
      </w:r>
    </w:p>
    <w:p>
      <w:pPr>
        <w:pStyle w:val="Compact"/>
        <w:widowControl/>
        <w:numPr>
          <w:ilvl w:val="0"/>
          <w:numId w:val="860"/>
        </w:numPr>
        <w:rPr/>
      </w:pPr>
      <w:r>
        <w:rPr/>
        <w:t>execution, liquidity and activity metrics may update daily or more frequently;</w:t>
      </w:r>
    </w:p>
    <w:p>
      <w:pPr>
        <w:pStyle w:val="Compact"/>
        <w:widowControl/>
        <w:numPr>
          <w:ilvl w:val="0"/>
          <w:numId w:val="861"/>
        </w:numPr>
        <w:rPr/>
      </w:pPr>
      <w:r>
        <w:rPr/>
        <w:t>developer and governance metrics may update weekly;</w:t>
      </w:r>
    </w:p>
    <w:p>
      <w:pPr>
        <w:pStyle w:val="Compact"/>
        <w:widowControl/>
        <w:numPr>
          <w:ilvl w:val="0"/>
          <w:numId w:val="862"/>
        </w:numPr>
        <w:rPr/>
      </w:pPr>
      <w:r>
        <w:rPr/>
        <w:t>security and decentralisation classifications may update after material events;</w:t>
      </w:r>
    </w:p>
    <w:p>
      <w:pPr>
        <w:pStyle w:val="Compact"/>
        <w:widowControl/>
        <w:numPr>
          <w:ilvl w:val="0"/>
          <w:numId w:val="863"/>
        </w:numPr>
        <w:rPr/>
      </w:pPr>
      <w:r>
        <w:rPr/>
        <w:t>resilience metrics require longer windows and may update monthly;</w:t>
      </w:r>
    </w:p>
    <w:p>
      <w:pPr>
        <w:pStyle w:val="Compact"/>
        <w:widowControl/>
        <w:numPr>
          <w:ilvl w:val="0"/>
          <w:numId w:val="864"/>
        </w:numPr>
        <w:rPr/>
      </w:pPr>
      <w:r>
        <w:rPr/>
        <w:t>market-recognition inputs may update daily but use smoothing to avoid noise.</w:t>
      </w:r>
    </w:p>
    <w:p>
      <w:pPr>
        <w:pStyle w:val="Normal"/>
        <w:rPr/>
      </w:pPr>
      <w:bookmarkStart w:id="108" w:name="data-freshness"/>
      <w:r>
        <w:rPr/>
        <w:t>VCS penalises stale data according to a metric-specific service-level objective.</w:t>
      </w:r>
      <w:bookmarkEnd w:id="108"/>
    </w:p>
    <w:p>
      <w:pPr>
        <w:pStyle w:val="Heading2"/>
        <w:keepNext w:val="true"/>
        <w:keepLines/>
        <w:widowControl/>
        <w:rPr/>
      </w:pPr>
      <w:bookmarkStart w:id="109" w:name="__RefHeading___Toc8259_528838595"/>
      <w:bookmarkEnd w:id="109"/>
      <w:r>
        <w:rPr/>
        <w:t>6.6 Data exclusions</w:t>
      </w:r>
    </w:p>
    <w:p>
      <w:pPr>
        <w:pStyle w:val="Normal"/>
        <w:rPr/>
      </w:pPr>
      <w:r>
        <w:rPr/>
        <w:t>The framework excludes data that cannot be reconciled with the canonical definition. Examples include unlabelled internal transfers counted as economic settlement, circular self-trading, duplicated TVL, bridged assets counted on both origin and destination without clear scope, and nominal revenue that is entirely offset by token incentives.</w:t>
      </w:r>
    </w:p>
    <w:p>
      <w:pPr>
        <w:pStyle w:val="BodyText"/>
        <w:widowControl/>
        <w:rPr/>
      </w:pPr>
      <w:bookmarkStart w:id="110" w:name="data-exclusions"/>
      <w:bookmarkStart w:id="111" w:name="data-source-hierarchy-and-provenance"/>
      <w:r>
        <w:rPr/>
        <w:t>Exclusions must be rule-based and published. Analysts cannot remove inconvenient observations selectively.</w:t>
      </w:r>
      <w:bookmarkEnd w:id="110"/>
      <w:bookmarkEnd w:id="111"/>
    </w:p>
    <w:p>
      <w:pPr>
        <w:pStyle w:val="Heading2"/>
        <w:rPr/>
      </w:pPr>
      <w:r>
        <w:rPr/>
        <w:t>6.7 Preservation requirement</w:t>
      </w:r>
    </w:p>
    <w:p>
      <w:pPr>
        <w:pStyle w:val="Normal"/>
        <w:rPr/>
      </w:pPr>
      <w:r>
        <w:rPr/>
        <w:t>Provenance metadata is necessary but not sufficient when the source material is required to reproduce a result. Edition 3.2 requires preservation of the authoritative evidence, or of an independently verified replacement representation that is semantically equivalent and sufficient for the required reproduction. A hash can verify bytes that are independently held; a hash alone cannot reproduce missing evidence.</w:t>
      </w:r>
    </w:p>
    <w:p>
      <w:pPr>
        <w:pStyle w:val="BodyText"/>
        <w:rPr/>
      </w:pPr>
      <w:r>
        <w:rPr/>
        <w:t>For blockchain-derived observations, preserved evidence should identify the network and the applicable block, slot, transaction, log, state, account or other canonical coordinate. For external evidence, the equivalent requirement is the authoritative dataset, document, API result or source range together with retrieval time, query or method, version and provenance. Not every legitimate Voxonomics input is literally on-chain, but every canonical input must remain traceable to its authoritative source evidence.</w:t>
      </w:r>
    </w:p>
    <w:p>
      <w:pPr>
        <w:pStyle w:val="Heading1"/>
        <w:keepNext w:val="true"/>
        <w:keepLines/>
        <w:widowControl/>
        <w:pBdr>
          <w:bottom w:val="single" w:sz="6" w:space="5" w:color="8AB2BF"/>
        </w:pBdr>
        <w:jc w:val="left"/>
        <w:rPr/>
      </w:pPr>
      <w:bookmarkStart w:id="112" w:name="__RefHeading___Toc8261_528838595"/>
      <w:bookmarkEnd w:id="112"/>
      <w:r>
        <w:rPr/>
        <w:t>7. Universal Definitions and Chain-Specific Adapters</w:t>
      </w:r>
    </w:p>
    <w:p>
      <w:pPr>
        <w:pStyle w:val="Heading2"/>
        <w:keepNext w:val="true"/>
        <w:keepLines/>
        <w:widowControl/>
        <w:rPr/>
      </w:pPr>
      <w:bookmarkStart w:id="113" w:name="__RefHeading___Toc8263_528838595"/>
      <w:bookmarkEnd w:id="113"/>
      <w:r>
        <w:rPr/>
        <w:t>7.1 The universality principle</w:t>
      </w:r>
    </w:p>
    <w:p>
      <w:pPr>
        <w:pStyle w:val="Normal"/>
        <w:rPr/>
      </w:pPr>
      <w:r>
        <w:rPr/>
        <w:t>Universality applies to economic meaning, not identical database fields. Each canonical submetric contains:</w:t>
      </w:r>
    </w:p>
    <w:p>
      <w:pPr>
        <w:pStyle w:val="Compact"/>
        <w:widowControl/>
        <w:numPr>
          <w:ilvl w:val="0"/>
          <w:numId w:val="865"/>
        </w:numPr>
        <w:rPr/>
      </w:pPr>
      <w:r>
        <w:rPr/>
        <w:t>an economic definition;</w:t>
      </w:r>
    </w:p>
    <w:p>
      <w:pPr>
        <w:pStyle w:val="Compact"/>
        <w:widowControl/>
        <w:numPr>
          <w:ilvl w:val="0"/>
          <w:numId w:val="866"/>
        </w:numPr>
        <w:rPr/>
      </w:pPr>
      <w:r>
        <w:rPr/>
        <w:t>inclusion and exclusion rules;</w:t>
      </w:r>
    </w:p>
    <w:p>
      <w:pPr>
        <w:pStyle w:val="Compact"/>
        <w:widowControl/>
        <w:numPr>
          <w:ilvl w:val="0"/>
          <w:numId w:val="867"/>
        </w:numPr>
        <w:rPr/>
      </w:pPr>
      <w:r>
        <w:rPr/>
        <w:t>a preferred observation method;</w:t>
      </w:r>
    </w:p>
    <w:p>
      <w:pPr>
        <w:pStyle w:val="Compact"/>
        <w:widowControl/>
        <w:numPr>
          <w:ilvl w:val="0"/>
          <w:numId w:val="868"/>
        </w:numPr>
        <w:rPr/>
      </w:pPr>
      <w:r>
        <w:rPr/>
        <w:t>acceptable adapter variants;</w:t>
      </w:r>
    </w:p>
    <w:p>
      <w:pPr>
        <w:pStyle w:val="Compact"/>
        <w:widowControl/>
        <w:numPr>
          <w:ilvl w:val="0"/>
          <w:numId w:val="869"/>
        </w:numPr>
        <w:rPr/>
      </w:pPr>
      <w:r>
        <w:rPr/>
        <w:t>directionality;</w:t>
      </w:r>
    </w:p>
    <w:p>
      <w:pPr>
        <w:pStyle w:val="Compact"/>
        <w:widowControl/>
        <w:numPr>
          <w:ilvl w:val="0"/>
          <w:numId w:val="870"/>
        </w:numPr>
        <w:rPr/>
      </w:pPr>
      <w:r>
        <w:rPr/>
        <w:t>update frequency;</w:t>
      </w:r>
    </w:p>
    <w:p>
      <w:pPr>
        <w:pStyle w:val="Compact"/>
        <w:widowControl/>
        <w:numPr>
          <w:ilvl w:val="0"/>
          <w:numId w:val="871"/>
        </w:numPr>
        <w:rPr/>
      </w:pPr>
      <w:r>
        <w:rPr/>
        <w:t>minimum history;</w:t>
      </w:r>
    </w:p>
    <w:p>
      <w:pPr>
        <w:pStyle w:val="Compact"/>
        <w:widowControl/>
        <w:numPr>
          <w:ilvl w:val="0"/>
          <w:numId w:val="872"/>
        </w:numPr>
        <w:rPr/>
      </w:pPr>
      <w:bookmarkStart w:id="114" w:name="the-universality-principle"/>
      <w:r>
        <w:rPr/>
        <w:t>confidence requirements.</w:t>
      </w:r>
      <w:bookmarkEnd w:id="114"/>
    </w:p>
    <w:p>
      <w:pPr>
        <w:pStyle w:val="Heading2"/>
        <w:keepNext w:val="true"/>
        <w:keepLines/>
        <w:widowControl/>
        <w:rPr/>
      </w:pPr>
      <w:bookmarkStart w:id="115" w:name="__RefHeading___Toc8265_528838595"/>
      <w:bookmarkEnd w:id="115"/>
      <w:r>
        <w:rPr/>
        <w:t>7.2 Architecture classes</w:t>
      </w:r>
    </w:p>
    <w:p>
      <w:pPr>
        <w:pStyle w:val="Normal"/>
        <w:rPr/>
      </w:pPr>
      <w:r>
        <w:rPr/>
        <w:t>Adapters may classify networks by architecture for implementation purposes: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Architecture</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Typical evidence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Proof-of-work base layer</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Blocks, hash power or work proxies, mining-pool distribution, node history, fees and settlement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Proof-of-stake base layer</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Validator set, stake distribution, delegation, slashing, finality, governance and fees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Rollup or layer two</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Sequencer operation, proof system, bridge contracts, forced inclusion or escape path, inherited settlement security</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Application chain</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Application-specific transactions, validator or sequencer structure, economic output and external settlement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Modular component</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availability, shared security, settlement or interoperability service usage</w:t>
            </w:r>
          </w:p>
        </w:tc>
      </w:tr>
    </w:tbl>
    <w:p>
      <w:pPr>
        <w:pStyle w:val="BodyText"/>
        <w:widowControl/>
        <w:rPr/>
      </w:pPr>
      <w:bookmarkStart w:id="116" w:name="architecture-classes"/>
      <w:r>
        <w:rPr/>
        <w:t>Classification affects extraction, not the six-index weights.</w:t>
      </w:r>
      <w:bookmarkEnd w:id="116"/>
    </w:p>
    <w:p>
      <w:pPr>
        <w:pStyle w:val="Heading2"/>
        <w:keepNext w:val="true"/>
        <w:keepLines/>
        <w:widowControl/>
        <w:rPr/>
      </w:pPr>
      <w:bookmarkStart w:id="117" w:name="__RefHeading___Toc8267_528838595"/>
      <w:bookmarkEnd w:id="117"/>
      <w:r>
        <w:rPr/>
        <w:t>7.3 Canonical network scope</w:t>
      </w:r>
    </w:p>
    <w:p>
      <w:pPr>
        <w:pStyle w:val="Normal"/>
        <w:rPr/>
      </w:pPr>
      <w:r>
        <w:rPr/>
        <w:t>A common source of double counting is unclear scope. Voxonomics defines one canonical measurement object for each publication:</w:t>
      </w:r>
    </w:p>
    <w:p>
      <w:pPr>
        <w:pStyle w:val="Compact"/>
        <w:widowControl/>
        <w:numPr>
          <w:ilvl w:val="0"/>
          <w:numId w:val="873"/>
        </w:numPr>
        <w:rPr/>
      </w:pPr>
      <w:r>
        <w:rPr/>
        <w:t>a base layer excludes activity that occurs entirely on an independent execution layer unless it settles economically back to the base layer under a defined rule;</w:t>
      </w:r>
    </w:p>
    <w:p>
      <w:pPr>
        <w:pStyle w:val="Compact"/>
        <w:widowControl/>
        <w:numPr>
          <w:ilvl w:val="0"/>
          <w:numId w:val="874"/>
        </w:numPr>
        <w:rPr/>
      </w:pPr>
      <w:r>
        <w:rPr/>
        <w:t>a rollup includes its own execution activity but discloses inherited security and settlement dependencies;</w:t>
      </w:r>
    </w:p>
    <w:p>
      <w:pPr>
        <w:pStyle w:val="Compact"/>
        <w:widowControl/>
        <w:numPr>
          <w:ilvl w:val="0"/>
          <w:numId w:val="875"/>
        </w:numPr>
        <w:rPr/>
      </w:pPr>
      <w:r>
        <w:rPr/>
        <w:t>an ecosystem aggregation may be published separately, but cannot be compared with a single chain without an explicit scope label;</w:t>
      </w:r>
    </w:p>
    <w:p>
      <w:pPr>
        <w:pStyle w:val="Compact"/>
        <w:widowControl/>
        <w:numPr>
          <w:ilvl w:val="0"/>
          <w:numId w:val="876"/>
        </w:numPr>
        <w:rPr/>
      </w:pPr>
      <w:bookmarkStart w:id="118" w:name="canonical-network-scope"/>
      <w:r>
        <w:rPr/>
        <w:t>wrapped or bridged representations are attributed according to the metric definition and may not be counted twice.</w:t>
      </w:r>
      <w:bookmarkEnd w:id="118"/>
    </w:p>
    <w:p>
      <w:pPr>
        <w:pStyle w:val="Heading2"/>
        <w:keepNext w:val="true"/>
        <w:keepLines/>
        <w:widowControl/>
        <w:rPr/>
      </w:pPr>
      <w:bookmarkStart w:id="119" w:name="__RefHeading___Toc8269_528838595"/>
      <w:bookmarkEnd w:id="119"/>
      <w:r>
        <w:rPr/>
        <w:t>7.4 Adapter certification states</w:t>
      </w:r>
    </w:p>
    <w:p>
      <w:pPr>
        <w:pStyle w:val="Normal"/>
        <w:rPr/>
      </w:pPr>
      <w:r>
        <w:rPr/>
        <w:t>Adapters progress through four states:</w:t>
      </w:r>
    </w:p>
    <w:p>
      <w:pPr>
        <w:pStyle w:val="Compact"/>
        <w:widowControl/>
        <w:numPr>
          <w:ilvl w:val="0"/>
          <w:numId w:val="877"/>
        </w:numPr>
        <w:rPr/>
      </w:pPr>
      <w:r>
        <w:rPr>
          <w:b/>
          <w:bCs/>
        </w:rPr>
        <w:t>Experimental</w:t>
      </w:r>
      <w:r>
        <w:rPr/>
        <w:t xml:space="preserve"> — incomplete tests or limited history.</w:t>
      </w:r>
    </w:p>
    <w:p>
      <w:pPr>
        <w:pStyle w:val="Compact"/>
        <w:widowControl/>
        <w:numPr>
          <w:ilvl w:val="0"/>
          <w:numId w:val="878"/>
        </w:numPr>
        <w:rPr/>
      </w:pPr>
      <w:r>
        <w:rPr>
          <w:b/>
          <w:bCs/>
        </w:rPr>
        <w:t>Provisional</w:t>
      </w:r>
      <w:r>
        <w:rPr/>
        <w:t xml:space="preserve"> — core metrics implemented; open review and reconciliation active.</w:t>
      </w:r>
    </w:p>
    <w:p>
      <w:pPr>
        <w:pStyle w:val="Compact"/>
        <w:widowControl/>
        <w:numPr>
          <w:ilvl w:val="0"/>
          <w:numId w:val="879"/>
        </w:numPr>
        <w:rPr/>
      </w:pPr>
      <w:r>
        <w:rPr>
          <w:b/>
          <w:bCs/>
        </w:rPr>
        <w:t>Certified</w:t>
      </w:r>
      <w:r>
        <w:rPr/>
        <w:t xml:space="preserve"> — full tests, reproducibility, coverage and governance approval.</w:t>
      </w:r>
    </w:p>
    <w:p>
      <w:pPr>
        <w:pStyle w:val="Compact"/>
        <w:widowControl/>
        <w:numPr>
          <w:ilvl w:val="0"/>
          <w:numId w:val="880"/>
        </w:numPr>
        <w:rPr/>
      </w:pPr>
      <w:r>
        <w:rPr>
          <w:b/>
          <w:bCs/>
        </w:rPr>
        <w:t>Suspended</w:t>
      </w:r>
      <w:r>
        <w:rPr/>
        <w:t xml:space="preserve"> — material defect, stale dependency or unresolved dispute.</w:t>
      </w:r>
    </w:p>
    <w:p>
      <w:pPr>
        <w:pStyle w:val="Normal"/>
        <w:rPr/>
      </w:pPr>
      <w:bookmarkStart w:id="120" w:name="adapter-certification-states"/>
      <w:r>
        <w:rPr/>
        <w:t>A network may have an experimental public estimate without an official VTS.</w:t>
      </w:r>
      <w:bookmarkEnd w:id="120"/>
    </w:p>
    <w:p>
      <w:pPr>
        <w:pStyle w:val="Heading2"/>
        <w:keepNext w:val="true"/>
        <w:keepLines/>
        <w:widowControl/>
        <w:rPr/>
      </w:pPr>
      <w:bookmarkStart w:id="121" w:name="__RefHeading___Toc8271_528838595"/>
      <w:bookmarkEnd w:id="121"/>
      <w:r>
        <w:rPr/>
        <w:t>7.5 Adapter equivalence tests</w:t>
      </w:r>
    </w:p>
    <w:p>
      <w:pPr>
        <w:pStyle w:val="Normal"/>
        <w:rPr/>
      </w:pPr>
      <w:r>
        <w:rPr/>
        <w:t>Where multiple adapters implement the same metric, they must be tested against shared fixtures. Equivalence is assessed through:</w:t>
      </w:r>
    </w:p>
    <w:p>
      <w:pPr>
        <w:pStyle w:val="Compact"/>
        <w:widowControl/>
        <w:numPr>
          <w:ilvl w:val="0"/>
          <w:numId w:val="881"/>
        </w:numPr>
        <w:rPr/>
      </w:pPr>
      <w:r>
        <w:rPr/>
        <w:t>exact agreement for deterministic observations;</w:t>
      </w:r>
    </w:p>
    <w:p>
      <w:pPr>
        <w:pStyle w:val="Compact"/>
        <w:widowControl/>
        <w:numPr>
          <w:ilvl w:val="0"/>
          <w:numId w:val="882"/>
        </w:numPr>
        <w:rPr/>
      </w:pPr>
      <w:r>
        <w:rPr/>
        <w:t>tolerance bands for estimated or labelled datasets;</w:t>
      </w:r>
    </w:p>
    <w:p>
      <w:pPr>
        <w:pStyle w:val="Compact"/>
        <w:widowControl/>
        <w:numPr>
          <w:ilvl w:val="0"/>
          <w:numId w:val="883"/>
        </w:numPr>
        <w:rPr/>
      </w:pPr>
      <w:r>
        <w:rPr/>
        <w:t>known-event tests;</w:t>
      </w:r>
    </w:p>
    <w:p>
      <w:pPr>
        <w:pStyle w:val="Compact"/>
        <w:widowControl/>
        <w:numPr>
          <w:ilvl w:val="0"/>
          <w:numId w:val="884"/>
        </w:numPr>
        <w:rPr/>
      </w:pPr>
      <w:r>
        <w:rPr/>
        <w:t>cross-provider reconciliation;</w:t>
      </w:r>
    </w:p>
    <w:p>
      <w:pPr>
        <w:pStyle w:val="Compact"/>
        <w:widowControl/>
        <w:numPr>
          <w:ilvl w:val="0"/>
          <w:numId w:val="885"/>
        </w:numPr>
        <w:rPr/>
      </w:pPr>
      <w:r>
        <w:rPr/>
        <w:t>historical regression tests;</w:t>
      </w:r>
    </w:p>
    <w:p>
      <w:pPr>
        <w:pStyle w:val="Compact"/>
        <w:widowControl/>
        <w:numPr>
          <w:ilvl w:val="0"/>
          <w:numId w:val="886"/>
        </w:numPr>
        <w:rPr/>
      </w:pPr>
      <w:bookmarkStart w:id="122" w:name="adapter-equivalence-tests"/>
      <w:r>
        <w:rPr/>
        <w:t>failure and fallback behaviour.</w:t>
      </w:r>
      <w:bookmarkEnd w:id="122"/>
    </w:p>
    <w:p>
      <w:pPr>
        <w:pStyle w:val="Heading2"/>
        <w:keepNext w:val="true"/>
        <w:keepLines/>
        <w:widowControl/>
        <w:rPr/>
      </w:pPr>
      <w:bookmarkStart w:id="123" w:name="__RefHeading___Toc8273_528838595"/>
      <w:bookmarkEnd w:id="123"/>
      <w:r>
        <w:rPr/>
        <w:t>7.6 Privacy-preserving networks</w:t>
      </w:r>
    </w:p>
    <w:p>
      <w:pPr>
        <w:pStyle w:val="Normal"/>
        <w:rPr/>
      </w:pPr>
      <w:r>
        <w:rPr/>
        <w:t>A privacy-preserving network may expose less granular evidence by design. Voxonomics does not penalise privacy itself. It distinguishes between:</w:t>
      </w:r>
    </w:p>
    <w:p>
      <w:pPr>
        <w:pStyle w:val="Compact"/>
        <w:widowControl/>
        <w:numPr>
          <w:ilvl w:val="0"/>
          <w:numId w:val="887"/>
        </w:numPr>
        <w:rPr/>
      </w:pPr>
      <w:r>
        <w:rPr/>
        <w:t>verifiable aggregate evidence;</w:t>
      </w:r>
    </w:p>
    <w:p>
      <w:pPr>
        <w:pStyle w:val="Compact"/>
        <w:widowControl/>
        <w:numPr>
          <w:ilvl w:val="0"/>
          <w:numId w:val="888"/>
        </w:numPr>
        <w:rPr/>
      </w:pPr>
      <w:r>
        <w:rPr/>
        <w:t>unavailable evidence;</w:t>
      </w:r>
    </w:p>
    <w:p>
      <w:pPr>
        <w:pStyle w:val="Compact"/>
        <w:widowControl/>
        <w:numPr>
          <w:ilvl w:val="0"/>
          <w:numId w:val="889"/>
        </w:numPr>
        <w:rPr/>
      </w:pPr>
      <w:r>
        <w:rPr/>
        <w:t>evidence that requires trusted disclosure.</w:t>
      </w:r>
    </w:p>
    <w:p>
      <w:pPr>
        <w:pStyle w:val="Normal"/>
        <w:rPr/>
      </w:pPr>
      <w:bookmarkStart w:id="124" w:name="privacy-preserving-networks"/>
      <w:bookmarkStart w:id="125" w:name="X154de1d21b5136b2a05d013eb8c8001bede1029"/>
      <w:r>
        <w:rPr/>
        <w:t>Zero-knowledge proofs, auditable aggregate commitments and transparent supply proofs may support high confidence without exposing individual users. When economic activity cannot be verified at all, confidence and relevant index coverage decline.</w:t>
      </w:r>
      <w:bookmarkEnd w:id="124"/>
      <w:bookmarkEnd w:id="125"/>
    </w:p>
    <w:p>
      <w:pPr>
        <w:pStyle w:val="Heading1"/>
        <w:keepNext w:val="true"/>
        <w:keepLines/>
        <w:widowControl/>
        <w:pBdr>
          <w:bottom w:val="single" w:sz="6" w:space="5" w:color="8AB2BF"/>
        </w:pBdr>
        <w:jc w:val="left"/>
        <w:rPr/>
      </w:pPr>
      <w:bookmarkStart w:id="126" w:name="__RefHeading___Toc8275_528838595"/>
      <w:bookmarkEnd w:id="126"/>
      <w:r>
        <w:rPr/>
        <w:t>8. Normalisation, Directionality and Smoothing</w:t>
      </w:r>
    </w:p>
    <w:p>
      <w:pPr>
        <w:pStyle w:val="Heading2"/>
        <w:keepNext w:val="true"/>
        <w:keepLines/>
        <w:widowControl/>
        <w:rPr/>
      </w:pPr>
      <w:bookmarkStart w:id="127" w:name="__RefHeading___Toc8277_528838595"/>
      <w:bookmarkEnd w:id="127"/>
      <w:r>
        <w:rPr/>
        <w:t>8.1 Why simple min-max normalisation is insufficient</w:t>
      </w:r>
    </w:p>
    <w:p>
      <w:pPr>
        <w:pStyle w:val="Normal"/>
        <w:rPr/>
      </w:pPr>
      <w:r>
        <w:rPr/>
        <w:t>Ordinary min-max normalisation is highly sensitive to outliers, changing network populations and temporary extremes. If one network reports an anomalous value, every other score can move even though their own performance did not change. It also makes historical comparisons unstable when the minimum or maximum changes.</w:t>
      </w:r>
    </w:p>
    <w:p>
      <w:pPr>
        <w:pStyle w:val="BodyText"/>
        <w:widowControl/>
        <w:rPr/>
      </w:pPr>
      <w:bookmarkStart w:id="128" w:name="Xd9ef97675a3794222a1065e2c62444df9685a80"/>
      <w:r>
        <w:rPr/>
        <w:t>Voxonomics therefore uses versioned robust benchmarks rather than unconstrained live minimum and maximum values.</w:t>
      </w:r>
      <w:bookmarkEnd w:id="128"/>
    </w:p>
    <w:p>
      <w:pPr>
        <w:pStyle w:val="Heading2"/>
        <w:keepNext w:val="true"/>
        <w:keepLines/>
        <w:widowControl/>
        <w:rPr/>
      </w:pPr>
      <w:bookmarkStart w:id="129" w:name="__RefHeading___Toc8279_528838595"/>
      <w:bookmarkEnd w:id="129"/>
      <w:r>
        <w:rPr/>
        <w:t>8.2 Transformation pipeline</w:t>
      </w:r>
    </w:p>
    <w:p>
      <w:pPr>
        <w:pStyle w:val="Normal"/>
        <w:rPr/>
      </w:pPr>
      <w:r>
        <w:rPr/>
        <w:t>For raw observation x, the canonical pipeline is:</w:t>
      </w:r>
    </w:p>
    <w:p>
      <w:pPr>
        <w:pStyle w:val="Compact"/>
        <w:widowControl/>
        <w:numPr>
          <w:ilvl w:val="0"/>
          <w:numId w:val="890"/>
        </w:numPr>
        <w:rPr/>
      </w:pPr>
      <w:r>
        <w:rPr/>
        <w:t>validate units and scope;</w:t>
      </w:r>
    </w:p>
    <w:p>
      <w:pPr>
        <w:pStyle w:val="Compact"/>
        <w:widowControl/>
        <w:numPr>
          <w:ilvl w:val="0"/>
          <w:numId w:val="891"/>
        </w:numPr>
        <w:rPr/>
      </w:pPr>
      <w:r>
        <w:rPr/>
        <w:t>apply an economic transformation T(x), such as logarithmic scaling or per-user adjustment;</w:t>
      </w:r>
    </w:p>
    <w:p>
      <w:pPr>
        <w:pStyle w:val="Compact"/>
        <w:widowControl/>
        <w:numPr>
          <w:ilvl w:val="0"/>
          <w:numId w:val="892"/>
        </w:numPr>
        <w:rPr/>
      </w:pPr>
      <w:r>
        <w:rPr/>
        <w:t>apply directionality;</w:t>
      </w:r>
    </w:p>
    <w:p>
      <w:pPr>
        <w:pStyle w:val="Compact"/>
        <w:widowControl/>
        <w:numPr>
          <w:ilvl w:val="0"/>
          <w:numId w:val="893"/>
        </w:numPr>
        <w:rPr/>
      </w:pPr>
      <w:r>
        <w:rPr/>
        <w:t>compare with a benchmark distribution;</w:t>
      </w:r>
    </w:p>
    <w:p>
      <w:pPr>
        <w:pStyle w:val="Compact"/>
        <w:widowControl/>
        <w:numPr>
          <w:ilvl w:val="0"/>
          <w:numId w:val="894"/>
        </w:numPr>
        <w:rPr/>
      </w:pPr>
      <w:r>
        <w:rPr/>
        <w:t>cap extreme percentiles;</w:t>
      </w:r>
    </w:p>
    <w:p>
      <w:pPr>
        <w:pStyle w:val="Compact"/>
        <w:widowControl/>
        <w:numPr>
          <w:ilvl w:val="0"/>
          <w:numId w:val="895"/>
        </w:numPr>
        <w:rPr/>
      </w:pPr>
      <w:r>
        <w:rPr/>
        <w:t>map to a 0–100 score;</w:t>
      </w:r>
    </w:p>
    <w:p>
      <w:pPr>
        <w:pStyle w:val="Compact"/>
        <w:widowControl/>
        <w:numPr>
          <w:ilvl w:val="0"/>
          <w:numId w:val="896"/>
        </w:numPr>
        <w:rPr/>
      </w:pPr>
      <w:bookmarkStart w:id="130" w:name="transformation-pipeline"/>
      <w:r>
        <w:rPr/>
        <w:t>smooth across the approved time window.</w:t>
      </w:r>
      <w:bookmarkEnd w:id="130"/>
    </w:p>
    <w:p>
      <w:pPr>
        <w:pStyle w:val="Heading2"/>
        <w:keepNext w:val="true"/>
        <w:keepLines/>
        <w:widowControl/>
        <w:rPr/>
      </w:pPr>
      <w:bookmarkStart w:id="131" w:name="__RefHeading___Toc8281_528838595"/>
      <w:bookmarkEnd w:id="131"/>
      <w:r>
        <w:rPr/>
        <w:t>8.3 Positive-direction metrics</w:t>
      </w:r>
    </w:p>
    <w:p>
      <w:pPr>
        <w:pStyle w:val="Normal"/>
        <w:rPr/>
      </w:pPr>
      <w:r>
        <w:rPr/>
        <w:t>For a positive-direction metric, higher transformed values indicate stronger performance. Using lower and upper benchmark anchors L and U:</w:t>
      </w:r>
    </w:p>
    <w:p>
      <w:pPr>
        <w:pStyle w:val="BodyText"/>
        <w:keepLines/>
        <w:spacing w:before="80" w:after="160"/>
        <w:jc w:val="center"/>
        <w:rPr/>
      </w:pPr>
      <w:r>
        <w:rPr/>
        <w:drawing>
          <wp:inline distT="0" distB="0" distL="0" distR="0">
            <wp:extent cx="3427730" cy="454025"/>
            <wp:effectExtent l="0" t="0" r="0" b="0"/>
            <wp:docPr id="5" name="Picture 6" descr="Equation&#10;\mathrm{Score}^{+}(x)=100\,\mathrm{clip}\!\left(\frac{T(x)-L}{U-L},\,0,\,1\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Equation&#10;\mathrm{Score}^{+}(x)=100\,\mathrm{clip}\!\left(\frac{T(x)-L}{U-L},\,0,\,1\right)"/>
                    <pic:cNvPicPr>
                      <a:picLocks noChangeAspect="1" noChangeArrowheads="1"/>
                    </pic:cNvPicPr>
                  </pic:nvPicPr>
                  <pic:blipFill>
                    <a:blip r:embed="rId6"/>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132" w:name="__RefHeading___Toc8283_528838595"/>
      <w:bookmarkEnd w:id="132"/>
      <w:r>
        <w:rPr/>
        <w:t>8.4 Negative-direction metrics</w:t>
      </w:r>
    </w:p>
    <w:p>
      <w:pPr>
        <w:pStyle w:val="Normal"/>
        <w:rPr/>
      </w:pPr>
      <w:r>
        <w:rPr/>
        <w:t>For negative-direction metrics such as slippage, outage time or concentration, lower values are better:</w:t>
      </w:r>
    </w:p>
    <w:p>
      <w:pPr>
        <w:pStyle w:val="BodyText"/>
        <w:keepLines/>
        <w:spacing w:before="80" w:after="160"/>
        <w:jc w:val="center"/>
        <w:rPr/>
      </w:pPr>
      <w:r>
        <w:rPr/>
        <w:drawing>
          <wp:inline distT="0" distB="0" distL="0" distR="0">
            <wp:extent cx="3949700" cy="461010"/>
            <wp:effectExtent l="0" t="0" r="0" b="0"/>
            <wp:docPr id="6" name="Picture 7" descr="Equation&#10;\mathrm{Score}^{-}(x)=100\left[1-\mathrm{clip}\!\left(\frac{T(x)-L}{U-L},\,0,\,1\righ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Equation&#10;\mathrm{Score}^{-}(x)=100\left[1-\mathrm{clip}\!\left(\frac{T(x)-L}{U-L},\,0,\,1\right)\right]"/>
                    <pic:cNvPicPr>
                      <a:picLocks noChangeAspect="1" noChangeArrowheads="1"/>
                    </pic:cNvPicPr>
                  </pic:nvPicPr>
                  <pic:blipFill>
                    <a:blip r:embed="rId7"/>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133" w:name="__RefHeading___Toc8285_528838595"/>
      <w:bookmarkEnd w:id="133"/>
      <w:r>
        <w:rPr/>
        <w:t>8.5 Bounded-optimum metrics</w:t>
      </w:r>
    </w:p>
    <w:p>
      <w:pPr>
        <w:pStyle w:val="Normal"/>
        <w:rPr/>
      </w:pPr>
      <w:r>
        <w:rPr/>
        <w:t>Some variables are not monotonically better. Extremely low fees may indicate insufficient security revenue; extremely high fees may make the network unusable. A bounded-optimum metric uses a target range or piecewise function approved in the metric registry.</w:t>
      </w:r>
    </w:p>
    <w:p>
      <w:pPr>
        <w:pStyle w:val="BodyText"/>
        <w:widowControl/>
        <w:rPr/>
      </w:pPr>
      <w:r>
        <w:rPr/>
        <w:t>One form is:</w:t>
      </w:r>
    </w:p>
    <w:p>
      <w:pPr>
        <w:pStyle w:val="BodyText"/>
        <w:keepLines/>
        <w:spacing w:before="80" w:after="160"/>
        <w:jc w:val="center"/>
        <w:rPr/>
      </w:pPr>
      <w:r>
        <w:rPr/>
        <w:drawing>
          <wp:inline distT="0" distB="0" distL="0" distR="0">
            <wp:extent cx="3317875" cy="528955"/>
            <wp:effectExtent l="0" t="0" r="0" b="0"/>
            <wp:docPr id="7" name="Picture 8" descr="Equation&#10;\mathrm{Score}^{\mathrm{opt}}(x)=100\exp\!\left[-\frac{(T(x)-\mu)^2}{2\sigma^2}\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Equation&#10;\mathrm{Score}^{\mathrm{opt}}(x)=100\exp\!\left[-\frac{(T(x)-\mu)^2}{2\sigma^2}\right]"/>
                    <pic:cNvPicPr>
                      <a:picLocks noChangeAspect="1" noChangeArrowheads="1"/>
                    </pic:cNvPicPr>
                  </pic:nvPicPr>
                  <pic:blipFill>
                    <a:blip r:embed="rId8"/>
                    <a:stretch>
                      <a:fillRect/>
                    </a:stretch>
                  </pic:blipFill>
                  <pic:spPr bwMode="auto">
                    <a:xfrm>
                      <a:off x="0" y="0"/>
                      <a:ext cx="3317875" cy="528955"/>
                    </a:xfrm>
                    <a:prstGeom prst="rect">
                      <a:avLst/>
                    </a:prstGeom>
                    <a:noFill/>
                  </pic:spPr>
                </pic:pic>
              </a:graphicData>
            </a:graphic>
          </wp:inline>
        </w:drawing>
      </w:r>
    </w:p>
    <w:p>
      <w:pPr>
        <w:pStyle w:val="Normal"/>
        <w:rPr/>
      </w:pPr>
      <w:r>
        <w:rPr/>
        <w:t>where μ represents the evidence-based optimum and σ controls tolerance. Bounded-optimum functions require stronger governance evidence because they embed more model judgement.</w:t>
      </w:r>
    </w:p>
    <w:p>
      <w:pPr>
        <w:pStyle w:val="Heading2"/>
        <w:keepNext w:val="true"/>
        <w:keepLines/>
        <w:widowControl/>
        <w:rPr/>
      </w:pPr>
      <w:bookmarkStart w:id="134" w:name="__RefHeading___Toc8287_528838595"/>
      <w:bookmarkEnd w:id="134"/>
      <w:r>
        <w:rPr/>
        <w:t>8.6 Logarithmic and ratio transformations</w:t>
      </w:r>
    </w:p>
    <w:p>
      <w:pPr>
        <w:pStyle w:val="Normal"/>
        <w:rPr/>
      </w:pPr>
      <w:r>
        <w:rPr/>
        <w:t>Metrics spanning several orders of magnitude commonly use:</w:t>
      </w:r>
    </w:p>
    <w:p>
      <w:pPr>
        <w:pStyle w:val="BodyText"/>
        <w:keepLines/>
        <w:spacing w:before="80" w:after="160"/>
        <w:jc w:val="center"/>
        <w:rPr/>
      </w:pPr>
      <w:r>
        <w:rPr/>
        <w:drawing>
          <wp:inline distT="0" distB="0" distL="0" distR="0">
            <wp:extent cx="1692910" cy="310515"/>
            <wp:effectExtent l="0" t="0" r="0" b="0"/>
            <wp:docPr id="8" name="Picture 9" descr="Equation&#10;T(x)=\log(1+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descr="Equation&#10;T(x)=\log(1+x)"/>
                    <pic:cNvPicPr>
                      <a:picLocks noChangeAspect="1" noChangeArrowheads="1"/>
                    </pic:cNvPicPr>
                  </pic:nvPicPr>
                  <pic:blipFill>
                    <a:blip r:embed="rId9"/>
                    <a:stretch>
                      <a:fillRect/>
                    </a:stretch>
                  </pic:blipFill>
                  <pic:spPr bwMode="auto">
                    <a:xfrm>
                      <a:off x="0" y="0"/>
                      <a:ext cx="1692910" cy="310515"/>
                    </a:xfrm>
                    <a:prstGeom prst="rect">
                      <a:avLst/>
                    </a:prstGeom>
                    <a:noFill/>
                  </pic:spPr>
                </pic:pic>
              </a:graphicData>
            </a:graphic>
          </wp:inline>
        </w:drawing>
      </w:r>
    </w:p>
    <w:p>
      <w:pPr>
        <w:pStyle w:val="Normal"/>
        <w:rPr/>
      </w:pPr>
      <w:bookmarkStart w:id="135" w:name="logarithmic-and-ratio-transformations"/>
      <w:r>
        <w:rPr/>
        <w:t>Scale-sensitive metrics may also be expressed as ratios, including revenue per active user, liquidity relative to market value, or security budget relative to settled value. Ratios are used only when numerator and denominator are economically compatible.</w:t>
      </w:r>
      <w:bookmarkEnd w:id="135"/>
    </w:p>
    <w:p>
      <w:pPr>
        <w:pStyle w:val="Heading2"/>
        <w:keepNext w:val="true"/>
        <w:keepLines/>
        <w:widowControl/>
        <w:rPr/>
      </w:pPr>
      <w:bookmarkStart w:id="136" w:name="__RefHeading___Toc8289_528838595"/>
      <w:bookmarkEnd w:id="136"/>
      <w:r>
        <w:rPr/>
        <w:t>8.7 Benchmark anchors</w:t>
      </w:r>
    </w:p>
    <w:p>
      <w:pPr>
        <w:pStyle w:val="Normal"/>
        <w:rPr/>
      </w:pPr>
      <w:r>
        <w:rPr/>
        <w:t>Benchmark anchors are fixed for a methodology version and recalibrated only through governance. They may be based on:</w:t>
      </w:r>
    </w:p>
    <w:p>
      <w:pPr>
        <w:pStyle w:val="Compact"/>
        <w:widowControl/>
        <w:numPr>
          <w:ilvl w:val="0"/>
          <w:numId w:val="897"/>
        </w:numPr>
        <w:rPr/>
      </w:pPr>
      <w:r>
        <w:rPr/>
        <w:t>long historical distributions;</w:t>
      </w:r>
    </w:p>
    <w:p>
      <w:pPr>
        <w:pStyle w:val="Compact"/>
        <w:widowControl/>
        <w:numPr>
          <w:ilvl w:val="0"/>
          <w:numId w:val="898"/>
        </w:numPr>
        <w:rPr/>
      </w:pPr>
      <w:r>
        <w:rPr/>
        <w:t>winsorised cross-network percentiles;</w:t>
      </w:r>
    </w:p>
    <w:p>
      <w:pPr>
        <w:pStyle w:val="Compact"/>
        <w:widowControl/>
        <w:numPr>
          <w:ilvl w:val="0"/>
          <w:numId w:val="899"/>
        </w:numPr>
        <w:rPr/>
      </w:pPr>
      <w:r>
        <w:rPr/>
        <w:t>economic thresholds;</w:t>
      </w:r>
    </w:p>
    <w:p>
      <w:pPr>
        <w:pStyle w:val="Compact"/>
        <w:widowControl/>
        <w:numPr>
          <w:ilvl w:val="0"/>
          <w:numId w:val="900"/>
        </w:numPr>
        <w:rPr/>
      </w:pPr>
      <w:r>
        <w:rPr/>
        <w:t>stress-tested target ranges;</w:t>
      </w:r>
    </w:p>
    <w:p>
      <w:pPr>
        <w:pStyle w:val="Compact"/>
        <w:widowControl/>
        <w:numPr>
          <w:ilvl w:val="0"/>
          <w:numId w:val="901"/>
        </w:numPr>
        <w:rPr/>
      </w:pPr>
      <w:r>
        <w:rPr/>
        <w:t>architecture-aware but economically equivalent reference sets.</w:t>
      </w:r>
    </w:p>
    <w:p>
      <w:pPr>
        <w:pStyle w:val="Normal"/>
        <w:rPr/>
      </w:pPr>
      <w:bookmarkStart w:id="137" w:name="benchmark-anchors"/>
      <w:r>
        <w:rPr/>
        <w:t>Every recalibration requires an impact simulation and a versioned historical series.</w:t>
      </w:r>
      <w:bookmarkEnd w:id="137"/>
    </w:p>
    <w:p>
      <w:pPr>
        <w:pStyle w:val="Heading2"/>
        <w:keepNext w:val="true"/>
        <w:keepLines/>
        <w:widowControl/>
        <w:rPr/>
      </w:pPr>
      <w:bookmarkStart w:id="138" w:name="__RefHeading___Toc8291_528838595"/>
      <w:bookmarkEnd w:id="138"/>
      <w:r>
        <w:rPr/>
        <w:t>8.8 Smoothing</w:t>
      </w:r>
    </w:p>
    <w:p>
      <w:pPr>
        <w:pStyle w:val="Normal"/>
        <w:rPr/>
      </w:pPr>
      <w:r>
        <w:rPr/>
        <w:t>Voxonomics separates observation windows from smoothing windows. A daily observation may feed a 30-day exponentially weighted moving average:</w:t>
      </w:r>
    </w:p>
    <w:p>
      <w:pPr>
        <w:pStyle w:val="BodyText"/>
        <w:keepLines/>
        <w:spacing w:before="80" w:after="160"/>
        <w:jc w:val="center"/>
        <w:rPr/>
      </w:pPr>
      <w:r>
        <w:rPr/>
        <w:drawing>
          <wp:inline distT="0" distB="0" distL="0" distR="0">
            <wp:extent cx="2208530" cy="290195"/>
            <wp:effectExtent l="0" t="0" r="0" b="0"/>
            <wp:docPr id="9" name="Picture 10" descr="Equation&#10;S_t=\alpha X_t+(1-\alpha)S_{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descr="Equation&#10;S_t=\alpha X_t+(1-\alpha)S_{t-1}"/>
                    <pic:cNvPicPr>
                      <a:picLocks noChangeAspect="1" noChangeArrowheads="1"/>
                    </pic:cNvPicPr>
                  </pic:nvPicPr>
                  <pic:blipFill>
                    <a:blip r:embed="rId10"/>
                    <a:stretch>
                      <a:fillRect/>
                    </a:stretch>
                  </pic:blipFill>
                  <pic:spPr bwMode="auto">
                    <a:xfrm>
                      <a:off x="0" y="0"/>
                      <a:ext cx="2208530" cy="290195"/>
                    </a:xfrm>
                    <a:prstGeom prst="rect">
                      <a:avLst/>
                    </a:prstGeom>
                    <a:noFill/>
                  </pic:spPr>
                </pic:pic>
              </a:graphicData>
            </a:graphic>
          </wp:inline>
        </w:drawing>
      </w:r>
    </w:p>
    <w:p>
      <w:pPr>
        <w:pStyle w:val="Normal"/>
        <w:rPr/>
      </w:pPr>
      <w:r>
        <w:rPr/>
        <w:t>with:</w:t>
      </w:r>
    </w:p>
    <w:p>
      <w:pPr>
        <w:pStyle w:val="BodyText"/>
        <w:keepLines/>
        <w:spacing w:before="80" w:after="160"/>
        <w:jc w:val="center"/>
        <w:rPr/>
      </w:pPr>
      <w:r>
        <w:rPr/>
        <w:drawing>
          <wp:inline distT="0" distB="0" distL="0" distR="0">
            <wp:extent cx="1508760" cy="835025"/>
            <wp:effectExtent l="0" t="0" r="0" b="0"/>
            <wp:docPr id="10" name="Picture 11" descr="Equation&#10;\alpha=\frac{2}{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Equation&#10;\alpha=\frac{2}{n+1}"/>
                    <pic:cNvPicPr>
                      <a:picLocks noChangeAspect="1" noChangeArrowheads="1"/>
                    </pic:cNvPicPr>
                  </pic:nvPicPr>
                  <pic:blipFill>
                    <a:blip r:embed="rId11"/>
                    <a:stretch>
                      <a:fillRect/>
                    </a:stretch>
                  </pic:blipFill>
                  <pic:spPr bwMode="auto">
                    <a:xfrm>
                      <a:off x="0" y="0"/>
                      <a:ext cx="1508760" cy="835025"/>
                    </a:xfrm>
                    <a:prstGeom prst="rect">
                      <a:avLst/>
                    </a:prstGeom>
                    <a:noFill/>
                  </pic:spPr>
                </pic:pic>
              </a:graphicData>
            </a:graphic>
          </wp:inline>
        </w:drawing>
      </w:r>
    </w:p>
    <w:p>
      <w:pPr>
        <w:pStyle w:val="Normal"/>
        <w:rPr/>
      </w:pPr>
      <w:r>
        <w:rPr/>
        <w:t>where n is the approved effective window. Fast-moving liquidity and incident metrics may use shorter response windows; adoption and resilience use longer windows. The metric registry defines the window for each submetric.</w:t>
      </w:r>
    </w:p>
    <w:p>
      <w:pPr>
        <w:pStyle w:val="Heading2"/>
        <w:keepNext w:val="true"/>
        <w:keepLines/>
        <w:widowControl/>
        <w:rPr/>
      </w:pPr>
      <w:bookmarkStart w:id="139" w:name="__RefHeading___Toc8293_528838595"/>
      <w:bookmarkEnd w:id="139"/>
      <w:r>
        <w:rPr/>
        <w:t>8.9 Persistence and anti-spike controls</w:t>
      </w:r>
    </w:p>
    <w:p>
      <w:pPr>
        <w:pStyle w:val="Normal"/>
        <w:rPr/>
      </w:pPr>
      <w:r>
        <w:rPr/>
        <w:t>A score increase may require persistence before full recognition. Controls include:</w:t>
      </w:r>
    </w:p>
    <w:p>
      <w:pPr>
        <w:pStyle w:val="Compact"/>
        <w:widowControl/>
        <w:numPr>
          <w:ilvl w:val="0"/>
          <w:numId w:val="902"/>
        </w:numPr>
        <w:rPr/>
      </w:pPr>
      <w:r>
        <w:rPr/>
        <w:t>minimum duration above a threshold;</w:t>
      </w:r>
    </w:p>
    <w:p>
      <w:pPr>
        <w:pStyle w:val="Compact"/>
        <w:widowControl/>
        <w:numPr>
          <w:ilvl w:val="0"/>
          <w:numId w:val="903"/>
        </w:numPr>
        <w:rPr/>
      </w:pPr>
      <w:r>
        <w:rPr/>
        <w:t>rolling median confirmation;</w:t>
      </w:r>
    </w:p>
    <w:p>
      <w:pPr>
        <w:pStyle w:val="Compact"/>
        <w:widowControl/>
        <w:numPr>
          <w:ilvl w:val="0"/>
          <w:numId w:val="904"/>
        </w:numPr>
        <w:rPr/>
      </w:pPr>
      <w:r>
        <w:rPr/>
        <w:t>exclusion of self-transfers and known incentive loops;</w:t>
      </w:r>
    </w:p>
    <w:p>
      <w:pPr>
        <w:pStyle w:val="Compact"/>
        <w:widowControl/>
        <w:numPr>
          <w:ilvl w:val="0"/>
          <w:numId w:val="905"/>
        </w:numPr>
        <w:rPr/>
      </w:pPr>
      <w:r>
        <w:rPr/>
        <w:t>anomaly flags based on historical variance;</w:t>
      </w:r>
    </w:p>
    <w:p>
      <w:pPr>
        <w:pStyle w:val="Compact"/>
        <w:widowControl/>
        <w:numPr>
          <w:ilvl w:val="0"/>
          <w:numId w:val="906"/>
        </w:numPr>
        <w:rPr/>
      </w:pPr>
      <w:r>
        <w:rPr/>
        <w:t>cap on maximum daily score change;</w:t>
      </w:r>
    </w:p>
    <w:p>
      <w:pPr>
        <w:pStyle w:val="Compact"/>
        <w:widowControl/>
        <w:numPr>
          <w:ilvl w:val="0"/>
          <w:numId w:val="907"/>
        </w:numPr>
        <w:rPr/>
      </w:pPr>
      <w:r>
        <w:rPr/>
        <w:t>delayed inclusion of newly deployed assets or applications.</w:t>
      </w:r>
    </w:p>
    <w:p>
      <w:pPr>
        <w:pStyle w:val="Normal"/>
        <w:rPr/>
      </w:pPr>
      <w:bookmarkStart w:id="140" w:name="persistence-and-anti-spike-controls"/>
      <w:r>
        <w:rPr/>
        <w:t>Controls must not hide genuine deterioration. Security incidents and outages may reduce scores immediately where delay would misrepresent risk.</w:t>
      </w:r>
      <w:bookmarkEnd w:id="140"/>
    </w:p>
    <w:p>
      <w:pPr>
        <w:pStyle w:val="Heading2"/>
        <w:keepNext w:val="true"/>
        <w:keepLines/>
        <w:widowControl/>
        <w:rPr/>
      </w:pPr>
      <w:bookmarkStart w:id="141" w:name="__RefHeading___Toc8295_528838595"/>
      <w:bookmarkEnd w:id="141"/>
      <w:r>
        <w:rPr/>
        <w:t>8.10 Correlated submetrics</w:t>
      </w:r>
    </w:p>
    <w:p>
      <w:pPr>
        <w:pStyle w:val="Normal"/>
        <w:rPr/>
      </w:pPr>
      <w:bookmarkStart w:id="142" w:name="correlated-submetrics"/>
      <w:bookmarkStart w:id="143" w:name="X82f498e61e200b926bcfe8b75af0f6794bc3a1d"/>
      <w:r>
        <w:rPr/>
        <w:t>Submetrics that measure the same underlying activity can create hidden overweighting. Before approval, the DAO reviews pairwise and multivariate correlation, causal overlap and common-source dependence. Highly redundant measures are combined, down-weighted inside the parent index or used as validation rather than separate contributions.</w:t>
      </w:r>
      <w:bookmarkEnd w:id="142"/>
      <w:bookmarkEnd w:id="143"/>
    </w:p>
    <w:p>
      <w:pPr>
        <w:pStyle w:val="Heading1"/>
        <w:keepNext w:val="true"/>
        <w:keepLines/>
        <w:widowControl/>
        <w:pBdr>
          <w:bottom w:val="single" w:sz="6" w:space="5" w:color="8AB2BF"/>
        </w:pBdr>
        <w:jc w:val="left"/>
        <w:rPr/>
      </w:pPr>
      <w:bookmarkStart w:id="144" w:name="__RefHeading___Toc8297_528838595"/>
      <w:bookmarkEnd w:id="144"/>
      <w:r>
        <w:rPr/>
        <w:t>9. Economic Reference Unit</w:t>
      </w:r>
    </w:p>
    <w:p>
      <w:pPr>
        <w:pStyle w:val="Heading2"/>
        <w:keepNext w:val="true"/>
        <w:keepLines/>
        <w:widowControl/>
        <w:rPr/>
      </w:pPr>
      <w:bookmarkStart w:id="145" w:name="__RefHeading___Toc8299_528838595"/>
      <w:bookmarkEnd w:id="145"/>
      <w:r>
        <w:rPr/>
        <w:t>9.1 Purpose</w:t>
      </w:r>
    </w:p>
    <w:p>
      <w:pPr>
        <w:pStyle w:val="Normal"/>
        <w:rPr/>
      </w:pPr>
      <w:r>
        <w:rPr/>
        <w:t>A raw composite between 0 and 1 is easy to calculate but difficult to interpret through time. If industry capability improves, a fixed score may not show whether a network is keeping pace with the strongest credible systems. The Economic Reference Unit provides a moving but controlled benchmark.</w:t>
      </w:r>
    </w:p>
    <w:p>
      <w:pPr>
        <w:pStyle w:val="BodyText"/>
        <w:widowControl/>
        <w:rPr/>
      </w:pPr>
      <w:bookmarkStart w:id="146" w:name="purpose-1"/>
      <w:r>
        <w:rPr/>
        <w:t>The ERU is not a currency peg and does not represent one dollar, one euro or a commodity quantity. It is a standardised unit of measured blockchain economic performance.</w:t>
      </w:r>
      <w:bookmarkEnd w:id="146"/>
    </w:p>
    <w:p>
      <w:pPr>
        <w:pStyle w:val="Heading2"/>
        <w:keepNext w:val="true"/>
        <w:keepLines/>
        <w:widowControl/>
        <w:rPr/>
      </w:pPr>
      <w:bookmarkStart w:id="147" w:name="__RefHeading___Toc8301_528838595"/>
      <w:bookmarkEnd w:id="147"/>
      <w:r>
        <w:rPr/>
        <w:t>9.2 Core ERU benchmark</w:t>
      </w:r>
    </w:p>
    <w:p>
      <w:pPr>
        <w:pStyle w:val="Normal"/>
        <w:rPr/>
      </w:pPr>
      <w:r>
        <w:rPr/>
        <w:t>For each publication date t, the framework identifies eligible networks that meet all of the following:</w:t>
      </w:r>
    </w:p>
    <w:p>
      <w:pPr>
        <w:pStyle w:val="Compact"/>
        <w:widowControl/>
        <w:numPr>
          <w:ilvl w:val="0"/>
          <w:numId w:val="908"/>
        </w:numPr>
        <w:rPr/>
      </w:pPr>
      <w:r>
        <w:rPr/>
        <w:t>VCS of at least 70;</w:t>
      </w:r>
    </w:p>
    <w:p>
      <w:pPr>
        <w:pStyle w:val="Compact"/>
        <w:widowControl/>
        <w:numPr>
          <w:ilvl w:val="0"/>
          <w:numId w:val="909"/>
        </w:numPr>
        <w:rPr/>
      </w:pPr>
      <w:r>
        <w:rPr/>
        <w:t>at least 180 days of comparable history;</w:t>
      </w:r>
    </w:p>
    <w:p>
      <w:pPr>
        <w:pStyle w:val="Compact"/>
        <w:widowControl/>
        <w:numPr>
          <w:ilvl w:val="0"/>
          <w:numId w:val="910"/>
        </w:numPr>
        <w:rPr/>
      </w:pPr>
      <w:r>
        <w:rPr/>
        <w:t>official scores for all six parent indices;</w:t>
      </w:r>
    </w:p>
    <w:p>
      <w:pPr>
        <w:pStyle w:val="Compact"/>
        <w:widowControl/>
        <w:numPr>
          <w:ilvl w:val="0"/>
          <w:numId w:val="911"/>
        </w:numPr>
        <w:rPr/>
      </w:pPr>
      <w:r>
        <w:rPr/>
        <w:t>no unresolved critical data dispute;</w:t>
      </w:r>
    </w:p>
    <w:p>
      <w:pPr>
        <w:pStyle w:val="Compact"/>
        <w:widowControl/>
        <w:numPr>
          <w:ilvl w:val="0"/>
          <w:numId w:val="912"/>
        </w:numPr>
        <w:rPr/>
      </w:pPr>
      <w:r>
        <w:rPr/>
        <w:t>a canonical scope that avoids duplicate ecosystem representation.</w:t>
      </w:r>
    </w:p>
    <w:p>
      <w:pPr>
        <w:pStyle w:val="Normal"/>
        <w:rPr/>
      </w:pPr>
      <w:r>
        <w:rPr/>
        <w:t>From the eligible set, let Q_t denote the top-quartile eligible network set. The framework calculates a 90-day time-weighted median:</w:t>
      </w:r>
    </w:p>
    <w:p>
      <w:pPr>
        <w:pStyle w:val="BodyText"/>
        <w:keepLines/>
        <w:spacing w:before="80" w:after="160"/>
        <w:jc w:val="center"/>
        <w:rPr/>
      </w:pPr>
      <w:r>
        <w:rPr/>
        <w:drawing>
          <wp:inline distT="0" distB="0" distL="0" distR="0">
            <wp:extent cx="4530090" cy="692785"/>
            <wp:effectExtent l="0" t="0" r="0" b="0"/>
            <wp:docPr id="11" name="Picture 12" descr="Equation&#10;ERU_{\mathrm{core}}(t)=\mathrm{TWMA}_{90}\!\left(\underset{i\in\mathcal{Q}_t}{\mathrm{median}}\;VTS_{\mathrm{core},i}(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Equation&#10;ERU_{\mathrm{core}}(t)=\mathrm{TWMA}_{90}\!\left(\underset{i\in\mathcal{Q}_t}{\mathrm{median}}\;VTS_{\mathrm{core},i}(t)\right)"/>
                    <pic:cNvPicPr>
                      <a:picLocks noChangeAspect="1" noChangeArrowheads="1"/>
                    </pic:cNvPicPr>
                  </pic:nvPicPr>
                  <pic:blipFill>
                    <a:blip r:embed="rId12"/>
                    <a:stretch>
                      <a:fillRect/>
                    </a:stretch>
                  </pic:blipFill>
                  <pic:spPr bwMode="auto">
                    <a:xfrm>
                      <a:off x="0" y="0"/>
                      <a:ext cx="4530090" cy="692785"/>
                    </a:xfrm>
                    <a:prstGeom prst="rect">
                      <a:avLst/>
                    </a:prstGeom>
                    <a:noFill/>
                  </pic:spPr>
                </pic:pic>
              </a:graphicData>
            </a:graphic>
          </wp:inline>
        </w:drawing>
      </w:r>
    </w:p>
    <w:p>
      <w:pPr>
        <w:pStyle w:val="Normal"/>
        <w:rPr/>
      </w:pPr>
      <w:r>
        <w:rPr/>
        <w:t>The published reference is defined as:</w:t>
      </w:r>
    </w:p>
    <w:p>
      <w:pPr>
        <w:pStyle w:val="BodyText"/>
        <w:keepLines/>
        <w:spacing w:before="80" w:after="160"/>
        <w:jc w:val="center"/>
        <w:rPr/>
      </w:pPr>
      <w:r>
        <w:rPr/>
        <w:drawing>
          <wp:inline distT="0" distB="0" distL="0" distR="0">
            <wp:extent cx="1990090" cy="294005"/>
            <wp:effectExtent l="0" t="0" r="0" b="0"/>
            <wp:docPr id="12" name="Picture 13" descr="Equation&#10;ERU(t)=1.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descr="Equation&#10;ERU(t)=1.000000"/>
                    <pic:cNvPicPr>
                      <a:picLocks noChangeAspect="1" noChangeArrowheads="1"/>
                    </pic:cNvPicPr>
                  </pic:nvPicPr>
                  <pic:blipFill>
                    <a:blip r:embed="rId13"/>
                    <a:stretch>
                      <a:fillRect/>
                    </a:stretch>
                  </pic:blipFill>
                  <pic:spPr bwMode="auto">
                    <a:xfrm>
                      <a:off x="0" y="0"/>
                      <a:ext cx="1990090" cy="294005"/>
                    </a:xfrm>
                    <a:prstGeom prst="rect">
                      <a:avLst/>
                    </a:prstGeom>
                    <a:noFill/>
                  </pic:spPr>
                </pic:pic>
              </a:graphicData>
            </a:graphic>
          </wp:inline>
        </w:drawing>
      </w:r>
    </w:p>
    <w:p>
      <w:pPr>
        <w:pStyle w:val="Normal"/>
        <w:rPr/>
      </w:pPr>
      <w:r>
        <w:rPr/>
        <w:t>and each network’s standardised score is:</w:t>
      </w:r>
    </w:p>
    <w:p>
      <w:pPr>
        <w:pStyle w:val="BodyText"/>
        <w:keepLines/>
        <w:spacing w:before="80" w:after="160"/>
        <w:jc w:val="center"/>
        <w:rPr/>
      </w:pPr>
      <w:r>
        <w:rPr/>
        <w:drawing>
          <wp:inline distT="0" distB="0" distL="0" distR="0">
            <wp:extent cx="1795780" cy="508635"/>
            <wp:effectExtent l="0" t="0" r="0" b="0"/>
            <wp:docPr id="13" name="Picture 14" descr="Equation&#10;VTS_i(t)=\frac{VTS_{\mathrm{core},i}(t)}{ERU_{\mathrm{co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Equation&#10;VTS_i(t)=\frac{VTS_{\mathrm{core},i}(t)}{ERU_{\mathrm{core}}(t)}"/>
                    <pic:cNvPicPr>
                      <a:picLocks noChangeAspect="1" noChangeArrowheads="1"/>
                    </pic:cNvPicPr>
                  </pic:nvPicPr>
                  <pic:blipFill>
                    <a:blip r:embed="rId14"/>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148" w:name="__RefHeading___Toc8303_528838595"/>
      <w:bookmarkEnd w:id="148"/>
      <w:r>
        <w:rPr/>
        <w:t>9.3 Interpretation</w:t>
      </w:r>
    </w:p>
    <w:p>
      <w:pPr>
        <w:pStyle w:val="Compact"/>
        <w:widowControl/>
        <w:numPr>
          <w:ilvl w:val="0"/>
          <w:numId w:val="913"/>
        </w:numPr>
        <w:rPr/>
      </w:pPr>
      <w:r>
        <w:rPr>
          <w:b/>
          <w:bCs/>
        </w:rPr>
        <w:t>VTS = 1.000000</w:t>
      </w:r>
      <w:r>
        <w:rPr/>
        <w:t xml:space="preserve"> — performance equals the current reference benchmark.</w:t>
      </w:r>
    </w:p>
    <w:p>
      <w:pPr>
        <w:pStyle w:val="Compact"/>
        <w:widowControl/>
        <w:numPr>
          <w:ilvl w:val="0"/>
          <w:numId w:val="914"/>
        </w:numPr>
        <w:rPr/>
      </w:pPr>
      <w:r>
        <w:rPr>
          <w:b/>
          <w:bCs/>
        </w:rPr>
        <w:t>VTS = 0.750000</w:t>
      </w:r>
      <w:r>
        <w:rPr/>
        <w:t xml:space="preserve"> — performance is 75% of the reference benchmark.</w:t>
      </w:r>
    </w:p>
    <w:p>
      <w:pPr>
        <w:pStyle w:val="Compact"/>
        <w:widowControl/>
        <w:numPr>
          <w:ilvl w:val="0"/>
          <w:numId w:val="915"/>
        </w:numPr>
        <w:rPr/>
      </w:pPr>
      <w:r>
        <w:rPr>
          <w:b/>
          <w:bCs/>
        </w:rPr>
        <w:t>VTS = 1.150000</w:t>
      </w:r>
      <w:r>
        <w:rPr/>
        <w:t xml:space="preserve"> — performance is 15% above the reference benchmark.</w:t>
      </w:r>
    </w:p>
    <w:p>
      <w:pPr>
        <w:pStyle w:val="Normal"/>
        <w:rPr/>
      </w:pPr>
      <w:bookmarkStart w:id="149" w:name="interpretation"/>
      <w:r>
        <w:rPr/>
        <w:t>A score above one is valid. The framework aims for a psychologically clear centre around one, not an artificial ceiling.</w:t>
      </w:r>
      <w:bookmarkEnd w:id="149"/>
    </w:p>
    <w:p>
      <w:pPr>
        <w:pStyle w:val="Heading2"/>
        <w:keepNext w:val="true"/>
        <w:keepLines/>
        <w:widowControl/>
        <w:rPr/>
      </w:pPr>
      <w:bookmarkStart w:id="150" w:name="__RefHeading___Toc8305_528838595"/>
      <w:bookmarkEnd w:id="150"/>
      <w:r>
        <w:rPr/>
        <w:t>9.4 Benchmark stability</w:t>
      </w:r>
    </w:p>
    <w:p>
      <w:pPr>
        <w:pStyle w:val="Normal"/>
        <w:rPr/>
      </w:pPr>
      <w:r>
        <w:rPr/>
        <w:t>The ERU is smoothed and eligibility-gated to prevent abrupt changes caused by one network or one temporary event. Governance may set maximum daily movement for ERU_core, but cannot conceal large structural deterioration in the eligible set.</w:t>
      </w:r>
    </w:p>
    <w:p>
      <w:pPr>
        <w:pStyle w:val="Heading2"/>
        <w:keepNext w:val="true"/>
        <w:keepLines/>
        <w:widowControl/>
        <w:rPr/>
      </w:pPr>
      <w:bookmarkStart w:id="151" w:name="__RefHeading___Toc8307_528838595"/>
      <w:bookmarkEnd w:id="151"/>
      <w:r>
        <w:rPr/>
        <w:t>9.5 Survivorship and selection bias</w:t>
      </w:r>
    </w:p>
    <w:p>
      <w:pPr>
        <w:pStyle w:val="Normal"/>
        <w:rPr/>
      </w:pPr>
      <w:bookmarkStart w:id="152" w:name="survivorship-and-selection-bias"/>
      <w:r>
        <w:rPr/>
        <w:t>A benchmark based only on current leaders can create survivorship bias. Voxonomics therefore preserves the full eligible set, membership changes and historical benchmark composition. Research outputs may also publish fixed-cohort ERU series for comparison.</w:t>
      </w:r>
      <w:bookmarkEnd w:id="152"/>
    </w:p>
    <w:p>
      <w:pPr>
        <w:pStyle w:val="Heading2"/>
        <w:keepNext w:val="true"/>
        <w:keepLines/>
        <w:widowControl/>
        <w:rPr/>
      </w:pPr>
      <w:bookmarkStart w:id="153" w:name="__RefHeading___Toc8309_528838595"/>
      <w:bookmarkEnd w:id="153"/>
      <w:r>
        <w:rPr/>
        <w:t>9.6 ERU versioning</w:t>
      </w:r>
    </w:p>
    <w:p>
      <w:pPr>
        <w:pStyle w:val="Normal"/>
        <w:rPr/>
      </w:pPr>
      <w:bookmarkStart w:id="154" w:name="eru-versioning"/>
      <w:bookmarkStart w:id="155" w:name="economic-reference-unit"/>
      <w:r>
        <w:rPr/>
        <w:t>Changes to eligibility, quartile selection, smoothing or history requirements create a new ERU methodology version. The current and prior series remain publicly accessible.</w:t>
      </w:r>
      <w:bookmarkEnd w:id="154"/>
      <w:bookmarkEnd w:id="155"/>
      <w:r>
        <w:br w:type="page"/>
      </w:r>
    </w:p>
    <w:p>
      <w:pPr>
        <w:pStyle w:val="PartTitle"/>
        <w:spacing w:before="0" w:after="360"/>
        <w:rPr/>
      </w:pPr>
      <w:bookmarkStart w:id="156" w:name="__RefHeading___Toc8311_528838595"/>
      <w:bookmarkStart w:id="157" w:name="part-iii-the-six-index-vts-engine"/>
      <w:bookmarkEnd w:id="156"/>
      <w:r>
        <w:rPr/>
        <w:t>Part III — The Six-Index VTS Engine</w:t>
      </w:r>
      <w:bookmarkEnd w:id="157"/>
    </w:p>
    <w:p>
      <w:pPr>
        <w:pStyle w:val="Heading1"/>
        <w:keepNext w:val="true"/>
        <w:keepLines/>
        <w:widowControl/>
        <w:pBdr>
          <w:bottom w:val="single" w:sz="6" w:space="5" w:color="8AB2BF"/>
        </w:pBdr>
        <w:jc w:val="left"/>
        <w:rPr/>
      </w:pPr>
      <w:bookmarkStart w:id="158" w:name="__RefHeading___Toc8313_528838595"/>
      <w:bookmarkEnd w:id="158"/>
      <w:r>
        <w:rPr/>
        <w:t>10. Value Transfer Score</w:t>
      </w:r>
    </w:p>
    <w:p>
      <w:pPr>
        <w:pStyle w:val="Heading2"/>
        <w:keepNext w:val="true"/>
        <w:keepLines/>
        <w:widowControl/>
        <w:rPr/>
      </w:pPr>
      <w:bookmarkStart w:id="159" w:name="__RefHeading___Toc8315_528838595"/>
      <w:bookmarkEnd w:id="159"/>
      <w:r>
        <w:rPr/>
        <w:t>10.1 Definition</w:t>
      </w:r>
    </w:p>
    <w:p>
      <w:pPr>
        <w:pStyle w:val="Normal"/>
        <w:rPr/>
      </w:pPr>
      <w:r>
        <w:rPr/>
        <w:t xml:space="preserve">The </w:t>
      </w:r>
      <w:r>
        <w:rPr>
          <w:b/>
          <w:bCs/>
        </w:rPr>
        <w:t>Value Transfer Score (VTS)</w:t>
      </w:r>
      <w:r>
        <w:rPr/>
        <w:t xml:space="preserve"> is the central intrinsic measurement of the Voxonomics framework. The name reflects the network’s capacity to create, secure, sustain and transfer economic value across participants and time.</w:t>
      </w:r>
    </w:p>
    <w:p>
      <w:pPr>
        <w:pStyle w:val="BodyText"/>
        <w:widowControl/>
        <w:rPr/>
      </w:pPr>
      <w:bookmarkStart w:id="160" w:name="definition"/>
      <w:r>
        <w:rPr/>
        <w:t>VTS is not a token price, price target or promise of future performance. It is a versioned model output derived from six observable dimensions of network economic quality.</w:t>
      </w:r>
      <w:bookmarkEnd w:id="160"/>
    </w:p>
    <w:p>
      <w:pPr>
        <w:pStyle w:val="Heading2"/>
        <w:keepNext w:val="true"/>
        <w:keepLines/>
        <w:widowControl/>
        <w:rPr/>
      </w:pPr>
      <w:bookmarkStart w:id="161" w:name="__RefHeading___Toc8317_528838595"/>
      <w:bookmarkEnd w:id="161"/>
      <w:r>
        <w:rPr/>
        <w:t>10.2 Equal-weight formula</w:t>
      </w:r>
    </w:p>
    <w:p>
      <w:pPr>
        <w:pStyle w:val="Normal"/>
        <w:rPr/>
      </w:pPr>
      <w:r>
        <w:rPr/>
        <w:t>Each parent index is scored from 0 to 100:</w:t>
      </w:r>
    </w:p>
    <w:p>
      <w:pPr>
        <w:pStyle w:val="BodyText"/>
        <w:keepLines/>
        <w:spacing w:before="80" w:after="160"/>
        <w:jc w:val="center"/>
        <w:rPr/>
      </w:pPr>
      <w:r>
        <w:rPr/>
        <w:drawing>
          <wp:inline distT="0" distB="0" distL="0" distR="0">
            <wp:extent cx="4485640" cy="287020"/>
            <wp:effectExtent l="0" t="0" r="0" b="0"/>
            <wp:docPr id="14" name="Picture 15" descr="Equation&#10;PoV,\;OPI,\;DLI,\;PII,\;RWAI,\;ERI\in[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Equation&#10;PoV,\;OPI,\;DLI,\;PII,\;RWAI,\;ERI\in[0,100]"/>
                    <pic:cNvPicPr>
                      <a:picLocks noChangeAspect="1" noChangeArrowheads="1"/>
                    </pic:cNvPicPr>
                  </pic:nvPicPr>
                  <pic:blipFill>
                    <a:blip r:embed="rId15"/>
                    <a:stretch>
                      <a:fillRect/>
                    </a:stretch>
                  </pic:blipFill>
                  <pic:spPr bwMode="auto">
                    <a:xfrm>
                      <a:off x="0" y="0"/>
                      <a:ext cx="4485640" cy="287020"/>
                    </a:xfrm>
                    <a:prstGeom prst="rect">
                      <a:avLst/>
                    </a:prstGeom>
                    <a:noFill/>
                  </pic:spPr>
                </pic:pic>
              </a:graphicData>
            </a:graphic>
          </wp:inline>
        </w:drawing>
      </w:r>
    </w:p>
    <w:p>
      <w:pPr>
        <w:pStyle w:val="Normal"/>
        <w:rPr/>
      </w:pPr>
      <w:r>
        <w:rPr/>
        <w:t>The core score is:</w:t>
      </w:r>
    </w:p>
    <w:p>
      <w:pPr>
        <w:pStyle w:val="BodyText"/>
        <w:keepLines/>
        <w:spacing w:before="80" w:after="160"/>
        <w:jc w:val="center"/>
        <w:rPr/>
      </w:pPr>
      <w:r>
        <w:rPr/>
        <w:drawing>
          <wp:inline distT="0" distB="0" distL="0" distR="0">
            <wp:extent cx="3789045" cy="429895"/>
            <wp:effectExtent l="0" t="0" r="0" b="0"/>
            <wp:docPr id="15" name="Picture 16"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6" descr="Equation&#10;VTS_{\mathrm{core}}=\frac{PoV+OPI+DLI+PII+RWAI+ERI}{600}"/>
                    <pic:cNvPicPr>
                      <a:picLocks noChangeAspect="1" noChangeArrowheads="1"/>
                    </pic:cNvPicPr>
                  </pic:nvPicPr>
                  <pic:blipFill>
                    <a:blip r:embed="rId16"/>
                    <a:stretch>
                      <a:fillRect/>
                    </a:stretch>
                  </pic:blipFill>
                  <pic:spPr bwMode="auto">
                    <a:xfrm>
                      <a:off x="0" y="0"/>
                      <a:ext cx="3789045" cy="429895"/>
                    </a:xfrm>
                    <a:prstGeom prst="rect">
                      <a:avLst/>
                    </a:prstGeom>
                    <a:noFill/>
                  </pic:spPr>
                </pic:pic>
              </a:graphicData>
            </a:graphic>
          </wp:inline>
        </w:drawing>
      </w:r>
    </w:p>
    <w:p>
      <w:pPr>
        <w:pStyle w:val="Normal"/>
        <w:rPr/>
      </w:pPr>
      <w:r>
        <w:rPr/>
        <w:t>Equivalently:</w:t>
      </w:r>
    </w:p>
    <w:p>
      <w:pPr>
        <w:pStyle w:val="BodyText"/>
        <w:keepLines/>
        <w:spacing w:before="80" w:after="160"/>
        <w:jc w:val="center"/>
        <w:rPr/>
      </w:pPr>
      <w:r>
        <w:rPr/>
        <w:drawing>
          <wp:inline distT="0" distB="0" distL="0" distR="0">
            <wp:extent cx="1915160" cy="812800"/>
            <wp:effectExtent l="0" t="0" r="0" b="0"/>
            <wp:docPr id="16" name="Picture 17" descr="Equation&#10;VTS_{\mathrm{core}}=\frac{1}{6}\sum_{j=1}^{6}\frac{Index_j}{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7" descr="Equation&#10;VTS_{\mathrm{core}}=\frac{1}{6}\sum_{j=1}^{6}\frac{Index_j}{100}"/>
                    <pic:cNvPicPr>
                      <a:picLocks noChangeAspect="1" noChangeArrowheads="1"/>
                    </pic:cNvPicPr>
                  </pic:nvPicPr>
                  <pic:blipFill>
                    <a:blip r:embed="rId17"/>
                    <a:stretch>
                      <a:fillRect/>
                    </a:stretch>
                  </pic:blipFill>
                  <pic:spPr bwMode="auto">
                    <a:xfrm>
                      <a:off x="0" y="0"/>
                      <a:ext cx="1915160" cy="812800"/>
                    </a:xfrm>
                    <a:prstGeom prst="rect">
                      <a:avLst/>
                    </a:prstGeom>
                    <a:noFill/>
                  </pic:spPr>
                </pic:pic>
              </a:graphicData>
            </a:graphic>
          </wp:inline>
        </w:drawing>
      </w:r>
    </w:p>
    <w:p>
      <w:pPr>
        <w:pStyle w:val="Normal"/>
        <w:rPr/>
      </w:pPr>
      <w:r>
        <w:rPr/>
        <w:t>The standardised score is:</w:t>
      </w:r>
    </w:p>
    <w:p>
      <w:pPr>
        <w:pStyle w:val="BodyText"/>
        <w:keepLines/>
        <w:spacing w:before="80" w:after="160"/>
        <w:jc w:val="center"/>
        <w:rPr/>
      </w:pPr>
      <w:r>
        <w:rPr/>
        <w:drawing>
          <wp:inline distT="0" distB="0" distL="0" distR="0">
            <wp:extent cx="1508760" cy="554990"/>
            <wp:effectExtent l="0" t="0" r="0" b="0"/>
            <wp:docPr id="17" name="Picture 18" descr="Equation&#10;VTS=\frac{VTS_{\mathrm{core}}}{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8" descr="Equation&#10;VTS=\frac{VTS_{\mathrm{core}}}{ERU_{\mathrm{core}}}"/>
                    <pic:cNvPicPr>
                      <a:picLocks noChangeAspect="1" noChangeArrowheads="1"/>
                    </pic:cNvPicPr>
                  </pic:nvPicPr>
                  <pic:blipFill>
                    <a:blip r:embed="rId18"/>
                    <a:stretch>
                      <a:fillRect/>
                    </a:stretch>
                  </pic:blipFill>
                  <pic:spPr bwMode="auto">
                    <a:xfrm>
                      <a:off x="0" y="0"/>
                      <a:ext cx="1508760" cy="554990"/>
                    </a:xfrm>
                    <a:prstGeom prst="rect">
                      <a:avLst/>
                    </a:prstGeom>
                    <a:noFill/>
                  </pic:spPr>
                </pic:pic>
              </a:graphicData>
            </a:graphic>
          </wp:inline>
        </w:drawing>
      </w:r>
    </w:p>
    <w:p>
      <w:pPr>
        <w:pStyle w:val="Normal"/>
        <w:rPr/>
      </w:pPr>
      <w:bookmarkStart w:id="162" w:name="equal-weight-formula"/>
      <w:r>
        <w:rPr/>
        <w:t>The six parent weights are fixed and equal. A change to parent weighting is not an ordinary parameter update; it would require a new constitutional edition.</w:t>
      </w:r>
      <w:bookmarkEnd w:id="162"/>
    </w:p>
    <w:p>
      <w:pPr>
        <w:pStyle w:val="Heading2"/>
        <w:keepNext w:val="true"/>
        <w:keepLines/>
        <w:widowControl/>
        <w:rPr/>
      </w:pPr>
      <w:bookmarkStart w:id="163" w:name="__RefHeading___Toc8319_528838595"/>
      <w:bookmarkEnd w:id="163"/>
      <w:r>
        <w:rPr/>
        <w:t>10.3 Why six dimensions</w:t>
      </w:r>
    </w:p>
    <w:p>
      <w:pPr>
        <w:pStyle w:val="Normal"/>
        <w:rPr/>
      </w:pPr>
      <w:r>
        <w:rPr/>
        <w:t>The six-index structure balances output, participation, finance, protocol quality, external adoption and resilience. Removing any dimension creates a material blind spot:</w:t>
      </w:r>
    </w:p>
    <w:p>
      <w:pPr>
        <w:pStyle w:val="Compact"/>
        <w:widowControl/>
        <w:numPr>
          <w:ilvl w:val="0"/>
          <w:numId w:val="916"/>
        </w:numPr>
        <w:rPr/>
      </w:pPr>
      <w:r>
        <w:rPr/>
        <w:t>output without integrity can be fragile;</w:t>
      </w:r>
    </w:p>
    <w:p>
      <w:pPr>
        <w:pStyle w:val="Compact"/>
        <w:widowControl/>
        <w:numPr>
          <w:ilvl w:val="0"/>
          <w:numId w:val="917"/>
        </w:numPr>
        <w:rPr/>
      </w:pPr>
      <w:r>
        <w:rPr/>
        <w:t>liquidity without decentralisation can be controlled;</w:t>
      </w:r>
    </w:p>
    <w:p>
      <w:pPr>
        <w:pStyle w:val="Compact"/>
        <w:widowControl/>
        <w:numPr>
          <w:ilvl w:val="0"/>
          <w:numId w:val="918"/>
        </w:numPr>
        <w:rPr/>
      </w:pPr>
      <w:r>
        <w:rPr/>
        <w:t>participation without value creation can be unproductive;</w:t>
      </w:r>
    </w:p>
    <w:p>
      <w:pPr>
        <w:pStyle w:val="Compact"/>
        <w:widowControl/>
        <w:numPr>
          <w:ilvl w:val="0"/>
          <w:numId w:val="919"/>
        </w:numPr>
        <w:rPr/>
      </w:pPr>
      <w:r>
        <w:rPr/>
        <w:t>adoption without resilience can collapse under stress;</w:t>
      </w:r>
    </w:p>
    <w:p>
      <w:pPr>
        <w:pStyle w:val="Compact"/>
        <w:widowControl/>
        <w:numPr>
          <w:ilvl w:val="0"/>
          <w:numId w:val="920"/>
        </w:numPr>
        <w:rPr/>
      </w:pPr>
      <w:r>
        <w:rPr/>
        <w:t>integrity without usage can describe secure but economically inactive infrastructure;</w:t>
      </w:r>
    </w:p>
    <w:p>
      <w:pPr>
        <w:pStyle w:val="Compact"/>
        <w:widowControl/>
        <w:numPr>
          <w:ilvl w:val="0"/>
          <w:numId w:val="921"/>
        </w:numPr>
        <w:rPr/>
      </w:pPr>
      <w:bookmarkStart w:id="164" w:name="why-six-dimensions"/>
      <w:r>
        <w:rPr/>
        <w:t>resilience without current output can describe survival rather than relevance.</w:t>
      </w:r>
      <w:bookmarkEnd w:id="164"/>
    </w:p>
    <w:p>
      <w:pPr>
        <w:pStyle w:val="Heading2"/>
        <w:keepNext w:val="true"/>
        <w:keepLines/>
        <w:widowControl/>
        <w:rPr/>
      </w:pPr>
      <w:bookmarkStart w:id="165" w:name="__RefHeading___Toc8321_528838595"/>
      <w:bookmarkEnd w:id="165"/>
      <w:r>
        <w:rPr/>
        <w:t>10.4 Parent-index construction</w:t>
      </w:r>
    </w:p>
    <w:p>
      <w:pPr>
        <w:pStyle w:val="Normal"/>
        <w:rPr/>
      </w:pPr>
      <w:r>
        <w:rPr/>
        <w:t>Each parent index is a weighted average of canonical sub-indices:</w:t>
      </w:r>
    </w:p>
    <w:p>
      <w:pPr>
        <w:pStyle w:val="BodyText"/>
        <w:keepLines/>
        <w:spacing w:before="80" w:after="160"/>
        <w:jc w:val="center"/>
        <w:rPr/>
      </w:pPr>
      <w:r>
        <w:rPr/>
        <w:drawing>
          <wp:inline distT="0" distB="0" distL="0" distR="0">
            <wp:extent cx="1809115" cy="768350"/>
            <wp:effectExtent l="0" t="0" r="0" b="0"/>
            <wp:docPr id="18" name="Picture 19" descr="Equation&#10;Index_j=\sum_{k=1}^{m_j}w_{jk}s_{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9" descr="Equation&#10;Index_j=\sum_{k=1}^{m_j}w_{jk}s_{jk}"/>
                    <pic:cNvPicPr>
                      <a:picLocks noChangeAspect="1" noChangeArrowheads="1"/>
                    </pic:cNvPicPr>
                  </pic:nvPicPr>
                  <pic:blipFill>
                    <a:blip r:embed="rId19"/>
                    <a:stretch>
                      <a:fillRect/>
                    </a:stretch>
                  </pic:blipFill>
                  <pic:spPr bwMode="auto">
                    <a:xfrm>
                      <a:off x="0" y="0"/>
                      <a:ext cx="1809115" cy="768350"/>
                    </a:xfrm>
                    <a:prstGeom prst="rect">
                      <a:avLst/>
                    </a:prstGeom>
                    <a:noFill/>
                  </pic:spPr>
                </pic:pic>
              </a:graphicData>
            </a:graphic>
          </wp:inline>
        </w:drawing>
      </w:r>
    </w:p>
    <w:p>
      <w:pPr>
        <w:pStyle w:val="Normal"/>
        <w:rPr/>
      </w:pPr>
      <w:r>
        <w:rPr/>
        <w:t>where s_jk is a 0–100 sub-index score and:</w:t>
      </w:r>
    </w:p>
    <w:p>
      <w:pPr>
        <w:pStyle w:val="BodyText"/>
        <w:keepLines/>
        <w:spacing w:before="80" w:after="160"/>
        <w:jc w:val="center"/>
        <w:rPr/>
      </w:pPr>
      <w:r>
        <w:rPr/>
        <w:drawing>
          <wp:inline distT="0" distB="0" distL="0" distR="0">
            <wp:extent cx="1508760" cy="1123950"/>
            <wp:effectExtent l="0" t="0" r="0" b="0"/>
            <wp:docPr id="19" name="Picture 20" descr="Equation&#10;\sum_{k=1}^{m_j}w_{j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0" descr="Equation&#10;\sum_{k=1}^{m_j}w_{jk}=1"/>
                    <pic:cNvPicPr>
                      <a:picLocks noChangeAspect="1" noChangeArrowheads="1"/>
                    </pic:cNvPicPr>
                  </pic:nvPicPr>
                  <pic:blipFill>
                    <a:blip r:embed="rId20"/>
                    <a:stretch>
                      <a:fillRect/>
                    </a:stretch>
                  </pic:blipFill>
                  <pic:spPr bwMode="auto">
                    <a:xfrm>
                      <a:off x="0" y="0"/>
                      <a:ext cx="1508760" cy="1123950"/>
                    </a:xfrm>
                    <a:prstGeom prst="rect">
                      <a:avLst/>
                    </a:prstGeom>
                    <a:noFill/>
                  </pic:spPr>
                </pic:pic>
              </a:graphicData>
            </a:graphic>
          </wp:inline>
        </w:drawing>
      </w:r>
    </w:p>
    <w:p>
      <w:pPr>
        <w:pStyle w:val="Normal"/>
        <w:rPr/>
      </w:pPr>
      <w:bookmarkStart w:id="166" w:name="parent-index-construction"/>
      <w:r>
        <w:rPr/>
        <w:t>Sub-index weights are specified in the metric registry. They may be revised through DAO governance only after correlation analysis, backtesting, public review and versioned impact simulation.</w:t>
      </w:r>
      <w:bookmarkEnd w:id="166"/>
    </w:p>
    <w:p>
      <w:pPr>
        <w:pStyle w:val="Heading2"/>
        <w:keepNext w:val="true"/>
        <w:keepLines/>
        <w:widowControl/>
        <w:rPr/>
      </w:pPr>
      <w:bookmarkStart w:id="167" w:name="__RefHeading___Toc8323_528838595"/>
      <w:bookmarkEnd w:id="167"/>
      <w:r>
        <w:rPr/>
        <w:t>10.5 Publication package</w:t>
      </w:r>
    </w:p>
    <w:p>
      <w:pPr>
        <w:pStyle w:val="Normal"/>
        <w:rPr/>
      </w:pPr>
      <w:r>
        <w:rPr/>
        <w:t>An official VTS publication contains:</w:t>
      </w:r>
    </w:p>
    <w:p>
      <w:pPr>
        <w:pStyle w:val="Compact"/>
        <w:widowControl/>
        <w:numPr>
          <w:ilvl w:val="0"/>
          <w:numId w:val="922"/>
        </w:numPr>
        <w:rPr/>
      </w:pPr>
      <w:r>
        <w:rPr/>
        <w:t>current VTS and VTS_core;</w:t>
      </w:r>
    </w:p>
    <w:p>
      <w:pPr>
        <w:pStyle w:val="Compact"/>
        <w:widowControl/>
        <w:numPr>
          <w:ilvl w:val="0"/>
          <w:numId w:val="923"/>
        </w:numPr>
        <w:rPr/>
      </w:pPr>
      <w:r>
        <w:rPr/>
        <w:t>ERU version and value;</w:t>
      </w:r>
    </w:p>
    <w:p>
      <w:pPr>
        <w:pStyle w:val="Compact"/>
        <w:widowControl/>
        <w:numPr>
          <w:ilvl w:val="0"/>
          <w:numId w:val="924"/>
        </w:numPr>
        <w:rPr/>
      </w:pPr>
      <w:r>
        <w:rPr/>
        <w:t>all six parent indices;</w:t>
      </w:r>
    </w:p>
    <w:p>
      <w:pPr>
        <w:pStyle w:val="Compact"/>
        <w:widowControl/>
        <w:numPr>
          <w:ilvl w:val="0"/>
          <w:numId w:val="925"/>
        </w:numPr>
        <w:rPr/>
      </w:pPr>
      <w:r>
        <w:rPr/>
        <w:t>sub-index contributions;</w:t>
      </w:r>
    </w:p>
    <w:p>
      <w:pPr>
        <w:pStyle w:val="Compact"/>
        <w:widowControl/>
        <w:numPr>
          <w:ilvl w:val="0"/>
          <w:numId w:val="926"/>
        </w:numPr>
        <w:rPr/>
      </w:pPr>
      <w:r>
        <w:rPr/>
        <w:t>data windows and freshness;</w:t>
      </w:r>
    </w:p>
    <w:p>
      <w:pPr>
        <w:pStyle w:val="Compact"/>
        <w:widowControl/>
        <w:numPr>
          <w:ilvl w:val="0"/>
          <w:numId w:val="927"/>
        </w:numPr>
        <w:rPr/>
      </w:pPr>
      <w:r>
        <w:rPr/>
        <w:t>VCS and publication status;</w:t>
      </w:r>
    </w:p>
    <w:p>
      <w:pPr>
        <w:pStyle w:val="Compact"/>
        <w:widowControl/>
        <w:numPr>
          <w:ilvl w:val="0"/>
          <w:numId w:val="928"/>
        </w:numPr>
        <w:rPr/>
      </w:pPr>
      <w:r>
        <w:rPr/>
        <w:t>adapter and methodology version;</w:t>
      </w:r>
    </w:p>
    <w:p>
      <w:pPr>
        <w:pStyle w:val="Compact"/>
        <w:widowControl/>
        <w:numPr>
          <w:ilvl w:val="0"/>
          <w:numId w:val="929"/>
        </w:numPr>
        <w:rPr/>
      </w:pPr>
      <w:r>
        <w:rPr/>
        <w:t>material risk and dispute flags;</w:t>
      </w:r>
    </w:p>
    <w:p>
      <w:pPr>
        <w:pStyle w:val="Compact"/>
        <w:widowControl/>
        <w:numPr>
          <w:ilvl w:val="0"/>
          <w:numId w:val="930"/>
        </w:numPr>
        <w:rPr/>
      </w:pPr>
      <w:r>
        <w:rPr/>
        <w:t>machine-readable calculation record.</w:t>
      </w:r>
    </w:p>
    <w:p>
      <w:pPr>
        <w:pStyle w:val="Normal"/>
        <w:rPr/>
      </w:pPr>
      <w:r>
        <w:rPr/>
        <w:drawing>
          <wp:inline distT="0" distB="0" distL="0" distR="0">
            <wp:extent cx="5320030" cy="1374140"/>
            <wp:effectExtent l="0" t="0" r="0" b="0"/>
            <wp:docPr id="20" name="Image3" descr="The analytical stack keeps intrinsic measurement, market recognition, opportunity, risk, confidence and optional implementation sepa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 descr="The analytical stack keeps intrinsic measurement, market recognition, opportunity, risk, confidence and optional implementation separate."/>
                    <pic:cNvPicPr>
                      <a:picLocks noChangeAspect="1" noChangeArrowheads="1"/>
                    </pic:cNvPicPr>
                  </pic:nvPicPr>
                  <pic:blipFill>
                    <a:blip r:embed="rId21"/>
                    <a:stretch>
                      <a:fillRect/>
                    </a:stretch>
                  </pic:blipFill>
                  <pic:spPr bwMode="auto">
                    <a:xfrm>
                      <a:off x="0" y="0"/>
                      <a:ext cx="5320030" cy="1374140"/>
                    </a:xfrm>
                    <a:prstGeom prst="rect">
                      <a:avLst/>
                    </a:prstGeom>
                    <a:noFill/>
                  </pic:spPr>
                </pic:pic>
              </a:graphicData>
            </a:graphic>
          </wp:inline>
        </w:drawing>
      </w:r>
    </w:p>
    <w:p>
      <w:pPr>
        <w:pStyle w:val="Normal"/>
        <w:rPr/>
      </w:pPr>
      <w:bookmarkStart w:id="168" w:name="publication-package"/>
      <w:bookmarkStart w:id="169" w:name="value-transfer-score"/>
      <w:r>
        <w:rPr/>
        <w:t>The analytical stack keeps intrinsic measurement, market recognition, opportunity, risk, confidence and optional implementation separate.</w:t>
      </w:r>
      <w:bookmarkEnd w:id="168"/>
      <w:bookmarkEnd w:id="169"/>
    </w:p>
    <w:p>
      <w:pPr>
        <w:pStyle w:val="Heading1"/>
        <w:keepNext w:val="true"/>
        <w:keepLines/>
        <w:widowControl/>
        <w:pBdr>
          <w:bottom w:val="single" w:sz="6" w:space="5" w:color="8AB2BF"/>
        </w:pBdr>
        <w:jc w:val="left"/>
        <w:rPr/>
      </w:pPr>
      <w:bookmarkStart w:id="170" w:name="__RefHeading___Toc8325_528838595"/>
      <w:bookmarkEnd w:id="170"/>
      <w:r>
        <w:rPr/>
        <w:t>11. Proof of Value (PoV)</w:t>
      </w:r>
    </w:p>
    <w:p>
      <w:pPr>
        <w:pStyle w:val="Heading2"/>
        <w:keepNext w:val="true"/>
        <w:keepLines/>
        <w:widowControl/>
        <w:rPr/>
      </w:pPr>
      <w:bookmarkStart w:id="171" w:name="__RefHeading___Toc8327_528838595"/>
      <w:bookmarkEnd w:id="171"/>
      <w:r>
        <w:rPr/>
        <w:t>11.1 Purpose</w:t>
      </w:r>
    </w:p>
    <w:p>
      <w:pPr>
        <w:pStyle w:val="Normal"/>
        <w:rPr/>
      </w:pPr>
      <w:bookmarkStart w:id="172" w:name="purpose-2"/>
      <w:r>
        <w:rPr/>
        <w:t>Proof of Value measures whether a network is producing verifiable, useful and sustainable economic activity. It avoids the assumption that all transactions are equal and distinguishes nominal activity from economic value capture.</w:t>
      </w:r>
      <w:bookmarkEnd w:id="172"/>
    </w:p>
    <w:p>
      <w:pPr>
        <w:pStyle w:val="Heading2"/>
        <w:keepNext w:val="true"/>
        <w:keepLines/>
        <w:widowControl/>
        <w:rPr/>
      </w:pPr>
      <w:bookmarkStart w:id="173" w:name="__RefHeading___Toc8329_528838595"/>
      <w:bookmarkEnd w:id="173"/>
      <w:r>
        <w:rPr/>
        <w:t>11.2 PoV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settlement</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and useful operations settled by the network</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 and protocol revenue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Demand paid for network or protocol services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economic usage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retention and quality of active demand</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capture and sustainability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Degree to which activity supports security and stakeholders without excessive subsidy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activity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Durability, diversity and resistance to fabricated activity</w:t>
            </w:r>
          </w:p>
        </w:tc>
      </w:tr>
    </w:tbl>
    <w:p>
      <w:pPr>
        <w:pStyle w:val="BodyText"/>
        <w:keepLines/>
        <w:spacing w:before="80" w:after="160"/>
        <w:jc w:val="center"/>
        <w:rPr/>
      </w:pPr>
      <w:r>
        <w:rPr/>
        <w:drawing>
          <wp:inline distT="0" distB="0" distL="0" distR="0">
            <wp:extent cx="5623560" cy="295275"/>
            <wp:effectExtent l="0" t="0" r="0" b="0"/>
            <wp:docPr id="21" name="Picture 21" descr="Equation&#10;PoV=0.25ES+0.20FR+0.20AU+0.20VC+0.15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quation&#10;PoV=0.25ES+0.20FR+0.20AU+0.20VC+0.15PQ"/>
                    <pic:cNvPicPr>
                      <a:picLocks noChangeAspect="1" noChangeArrowheads="1"/>
                    </pic:cNvPicPr>
                  </pic:nvPicPr>
                  <pic:blipFill>
                    <a:blip r:embed="rId22"/>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174" w:name="__RefHeading___Toc8331_528838595"/>
      <w:bookmarkEnd w:id="174"/>
      <w:r>
        <w:rPr/>
        <w:t>11.3 Economic settlement</w:t>
      </w:r>
    </w:p>
    <w:p>
      <w:pPr>
        <w:pStyle w:val="Normal"/>
        <w:rPr/>
      </w:pPr>
      <w:r>
        <w:rPr/>
        <w:t>Economic settlement evaluates the value and utility of finalised operations. Evidence may include:</w:t>
      </w:r>
    </w:p>
    <w:p>
      <w:pPr>
        <w:pStyle w:val="Compact"/>
        <w:widowControl/>
        <w:numPr>
          <w:ilvl w:val="0"/>
          <w:numId w:val="931"/>
        </w:numPr>
        <w:rPr/>
      </w:pPr>
      <w:r>
        <w:rPr/>
        <w:t>native and major asset transfer value after self-transfer and change-output filters;</w:t>
      </w:r>
    </w:p>
    <w:p>
      <w:pPr>
        <w:pStyle w:val="Compact"/>
        <w:widowControl/>
        <w:numPr>
          <w:ilvl w:val="0"/>
          <w:numId w:val="932"/>
        </w:numPr>
        <w:rPr/>
      </w:pPr>
      <w:r>
        <w:rPr/>
        <w:t>application settlement where the network provides execution or finality;</w:t>
      </w:r>
    </w:p>
    <w:p>
      <w:pPr>
        <w:pStyle w:val="Compact"/>
        <w:widowControl/>
        <w:numPr>
          <w:ilvl w:val="0"/>
          <w:numId w:val="933"/>
        </w:numPr>
        <w:rPr/>
      </w:pPr>
      <w:r>
        <w:rPr/>
        <w:t>bridge or cross-chain settlement attributed under canonical scope rules;</w:t>
      </w:r>
    </w:p>
    <w:p>
      <w:pPr>
        <w:pStyle w:val="Compact"/>
        <w:widowControl/>
        <w:numPr>
          <w:ilvl w:val="0"/>
          <w:numId w:val="934"/>
        </w:numPr>
        <w:rPr/>
      </w:pPr>
      <w:r>
        <w:rPr/>
        <w:t>economically meaningful contract executions;</w:t>
      </w:r>
    </w:p>
    <w:p>
      <w:pPr>
        <w:pStyle w:val="Compact"/>
        <w:widowControl/>
        <w:numPr>
          <w:ilvl w:val="0"/>
          <w:numId w:val="935"/>
        </w:numPr>
        <w:rPr/>
      </w:pPr>
      <w:r>
        <w:rPr/>
        <w:t>settlement value adjusted for reversibility, finality and duplicated representations.</w:t>
      </w:r>
    </w:p>
    <w:p>
      <w:pPr>
        <w:pStyle w:val="Normal"/>
        <w:rPr/>
      </w:pPr>
      <w:bookmarkStart w:id="175" w:name="economic-settlement"/>
      <w:r>
        <w:rPr/>
        <w:t>Raw value is commonly log-transformed. Stablecoin and token transfer values are separated to avoid one highly active asset dominating the entire component.</w:t>
      </w:r>
      <w:bookmarkEnd w:id="175"/>
    </w:p>
    <w:p>
      <w:pPr>
        <w:pStyle w:val="Heading2"/>
        <w:keepNext w:val="true"/>
        <w:keepLines/>
        <w:widowControl/>
        <w:rPr/>
      </w:pPr>
      <w:bookmarkStart w:id="176" w:name="__RefHeading___Toc8333_528838595"/>
      <w:bookmarkEnd w:id="176"/>
      <w:r>
        <w:rPr/>
        <w:t>11.4 Fees and protocol revenue</w:t>
      </w:r>
    </w:p>
    <w:p>
      <w:pPr>
        <w:pStyle w:val="Normal"/>
        <w:rPr/>
      </w:pPr>
      <w:r>
        <w:rPr/>
        <w:t>Fees measure demand for scarce network resources. Revenue measures the share retained by validators, miners, sequencers, the protocol treasury or token economics after required distributions.</w:t>
      </w:r>
    </w:p>
    <w:p>
      <w:pPr>
        <w:pStyle w:val="BodyText"/>
        <w:widowControl/>
        <w:rPr/>
      </w:pPr>
      <w:r>
        <w:rPr/>
        <w:t>The component records:</w:t>
      </w:r>
    </w:p>
    <w:p>
      <w:pPr>
        <w:pStyle w:val="Compact"/>
        <w:widowControl/>
        <w:numPr>
          <w:ilvl w:val="0"/>
          <w:numId w:val="936"/>
        </w:numPr>
        <w:rPr/>
      </w:pPr>
      <w:r>
        <w:rPr/>
        <w:t>gross user fees;</w:t>
      </w:r>
    </w:p>
    <w:p>
      <w:pPr>
        <w:pStyle w:val="Compact"/>
        <w:widowControl/>
        <w:numPr>
          <w:ilvl w:val="0"/>
          <w:numId w:val="937"/>
        </w:numPr>
        <w:rPr/>
      </w:pPr>
      <w:r>
        <w:rPr/>
        <w:t>protocol revenue under a published accounting definition;</w:t>
      </w:r>
    </w:p>
    <w:p>
      <w:pPr>
        <w:pStyle w:val="Compact"/>
        <w:widowControl/>
        <w:numPr>
          <w:ilvl w:val="0"/>
          <w:numId w:val="938"/>
        </w:numPr>
        <w:rPr/>
      </w:pPr>
      <w:r>
        <w:rPr/>
        <w:t>revenue growth and persistence;</w:t>
      </w:r>
    </w:p>
    <w:p>
      <w:pPr>
        <w:pStyle w:val="Compact"/>
        <w:widowControl/>
        <w:numPr>
          <w:ilvl w:val="0"/>
          <w:numId w:val="939"/>
        </w:numPr>
        <w:rPr/>
      </w:pPr>
      <w:r>
        <w:rPr/>
        <w:t>fee concentration by application or user segment;</w:t>
      </w:r>
    </w:p>
    <w:p>
      <w:pPr>
        <w:pStyle w:val="Compact"/>
        <w:widowControl/>
        <w:numPr>
          <w:ilvl w:val="0"/>
          <w:numId w:val="940"/>
        </w:numPr>
        <w:rPr/>
      </w:pPr>
      <w:r>
        <w:rPr/>
        <w:t>fee subsidy and rebate offsets;</w:t>
      </w:r>
    </w:p>
    <w:p>
      <w:pPr>
        <w:pStyle w:val="Compact"/>
        <w:widowControl/>
        <w:numPr>
          <w:ilvl w:val="0"/>
          <w:numId w:val="941"/>
        </w:numPr>
        <w:rPr/>
      </w:pPr>
      <w:r>
        <w:rPr/>
        <w:t>revenue relative to security cost and settled value.</w:t>
      </w:r>
    </w:p>
    <w:p>
      <w:pPr>
        <w:pStyle w:val="Normal"/>
        <w:rPr/>
      </w:pPr>
      <w:bookmarkStart w:id="177" w:name="fees-and-protocol-revenue"/>
      <w:r>
        <w:rPr/>
        <w:t>High fees are not automatically positive. The metric uses a combination of demand, retention and affordability. Congestion that prices out normal activity may improve nominal fee revenue but weaken usage quality.</w:t>
      </w:r>
      <w:bookmarkEnd w:id="177"/>
    </w:p>
    <w:p>
      <w:pPr>
        <w:pStyle w:val="Heading2"/>
        <w:keepNext w:val="true"/>
        <w:keepLines/>
        <w:widowControl/>
        <w:rPr/>
      </w:pPr>
      <w:bookmarkStart w:id="178" w:name="__RefHeading___Toc8335_528838595"/>
      <w:bookmarkStart w:id="179" w:name="active-economic-usage"/>
      <w:bookmarkEnd w:id="178"/>
      <w:r>
        <w:rPr/>
        <w:t>11.5 Active economic usage</w:t>
      </w:r>
    </w:p>
    <w:p>
      <w:pPr>
        <w:pStyle w:val="Normal"/>
        <w:rPr/>
      </w:pPr>
      <w:r>
        <w:rPr/>
        <w:t>Active economic usage measures unique and retained participation rather than raw address count. Adapter methods may include:</w:t>
      </w:r>
    </w:p>
    <w:p>
      <w:pPr>
        <w:pStyle w:val="Compact"/>
        <w:widowControl/>
        <w:numPr>
          <w:ilvl w:val="0"/>
          <w:numId w:val="942"/>
        </w:numPr>
        <w:rPr/>
      </w:pPr>
      <w:r>
        <w:rPr/>
        <w:t>active entities or addresses after known system-account filters;</w:t>
      </w:r>
    </w:p>
    <w:p>
      <w:pPr>
        <w:pStyle w:val="Compact"/>
        <w:widowControl/>
        <w:numPr>
          <w:ilvl w:val="0"/>
          <w:numId w:val="943"/>
        </w:numPr>
        <w:rPr/>
      </w:pPr>
      <w:r>
        <w:rPr/>
        <w:t>new, returning and retained cohorts;</w:t>
      </w:r>
    </w:p>
    <w:p>
      <w:pPr>
        <w:pStyle w:val="Compact"/>
        <w:widowControl/>
        <w:numPr>
          <w:ilvl w:val="0"/>
          <w:numId w:val="944"/>
        </w:numPr>
        <w:rPr/>
      </w:pPr>
      <w:r>
        <w:rPr/>
        <w:t>active applications and contracts;</w:t>
      </w:r>
    </w:p>
    <w:p>
      <w:pPr>
        <w:pStyle w:val="Compact"/>
        <w:widowControl/>
        <w:numPr>
          <w:ilvl w:val="0"/>
          <w:numId w:val="945"/>
        </w:numPr>
        <w:rPr/>
      </w:pPr>
      <w:r>
        <w:rPr/>
        <w:t>median transactions per active entity;</w:t>
      </w:r>
    </w:p>
    <w:p>
      <w:pPr>
        <w:pStyle w:val="Compact"/>
        <w:widowControl/>
        <w:numPr>
          <w:ilvl w:val="0"/>
          <w:numId w:val="946"/>
        </w:numPr>
        <w:rPr/>
      </w:pPr>
      <w:r>
        <w:rPr/>
        <w:t>economically meaningful activity thresholds;</w:t>
      </w:r>
    </w:p>
    <w:p>
      <w:pPr>
        <w:pStyle w:val="Compact"/>
        <w:widowControl/>
        <w:numPr>
          <w:ilvl w:val="0"/>
          <w:numId w:val="947"/>
        </w:numPr>
        <w:rPr/>
      </w:pPr>
      <w:r>
        <w:rPr/>
        <w:t>concentration of activity among top entities.</w:t>
      </w:r>
    </w:p>
    <w:p>
      <w:pPr>
        <w:pStyle w:val="Normal"/>
        <w:rPr/>
      </w:pPr>
      <w:r>
        <w:rPr/>
        <w:t xml:space="preserve">Entity clustering is used only when reproducible and clearly labelled. Where addresses cannot be reliably mapped to people, the framework uses the term </w:t>
      </w:r>
      <w:r>
        <w:rPr>
          <w:b/>
          <w:bCs/>
        </w:rPr>
        <w:t>active accounts or entities</w:t>
      </w:r>
      <w:r>
        <w:rPr/>
        <w:t>, not users.</w:t>
      </w:r>
      <w:bookmarkEnd w:id="179"/>
    </w:p>
    <w:p>
      <w:pPr>
        <w:pStyle w:val="Heading2"/>
        <w:keepNext w:val="true"/>
        <w:keepLines/>
        <w:widowControl/>
        <w:rPr/>
      </w:pPr>
      <w:bookmarkStart w:id="180" w:name="__RefHeading___Toc8337_528838595"/>
      <w:bookmarkEnd w:id="180"/>
      <w:r>
        <w:rPr/>
        <w:t>11.6 Value capture and sustainability</w:t>
      </w:r>
    </w:p>
    <w:p>
      <w:pPr>
        <w:pStyle w:val="Normal"/>
        <w:rPr/>
      </w:pPr>
      <w:r>
        <w:rPr/>
        <w:t>A network creates durable value when its economic output contributes to security, maintenance or stakeholders without depending indefinitely on unsustainable emissions.</w:t>
      </w:r>
    </w:p>
    <w:p>
      <w:pPr>
        <w:pStyle w:val="BodyText"/>
        <w:widowControl/>
        <w:rPr/>
      </w:pPr>
      <w:r>
        <w:rPr/>
        <w:t>Evidence may include:</w:t>
      </w:r>
    </w:p>
    <w:p>
      <w:pPr>
        <w:pStyle w:val="Compact"/>
        <w:widowControl/>
        <w:numPr>
          <w:ilvl w:val="0"/>
          <w:numId w:val="948"/>
        </w:numPr>
        <w:rPr/>
      </w:pPr>
      <w:r>
        <w:rPr/>
        <w:t>net protocol income;</w:t>
      </w:r>
    </w:p>
    <w:p>
      <w:pPr>
        <w:pStyle w:val="Compact"/>
        <w:widowControl/>
        <w:numPr>
          <w:ilvl w:val="0"/>
          <w:numId w:val="949"/>
        </w:numPr>
        <w:rPr/>
      </w:pPr>
      <w:r>
        <w:rPr/>
        <w:t>fee burn or supply reduction;</w:t>
      </w:r>
    </w:p>
    <w:p>
      <w:pPr>
        <w:pStyle w:val="Compact"/>
        <w:widowControl/>
        <w:numPr>
          <w:ilvl w:val="0"/>
          <w:numId w:val="950"/>
        </w:numPr>
        <w:rPr/>
      </w:pPr>
      <w:r>
        <w:rPr/>
        <w:t>treasury accumulation from operating activity;</w:t>
      </w:r>
    </w:p>
    <w:p>
      <w:pPr>
        <w:pStyle w:val="Compact"/>
        <w:widowControl/>
        <w:numPr>
          <w:ilvl w:val="0"/>
          <w:numId w:val="951"/>
        </w:numPr>
        <w:rPr/>
      </w:pPr>
      <w:r>
        <w:rPr/>
        <w:t>buybacks funded by revenue;</w:t>
      </w:r>
    </w:p>
    <w:p>
      <w:pPr>
        <w:pStyle w:val="Compact"/>
        <w:widowControl/>
        <w:numPr>
          <w:ilvl w:val="0"/>
          <w:numId w:val="952"/>
        </w:numPr>
        <w:rPr/>
      </w:pPr>
      <w:r>
        <w:rPr/>
        <w:t>staking or mining yield funded by fees rather than dilution;</w:t>
      </w:r>
    </w:p>
    <w:p>
      <w:pPr>
        <w:pStyle w:val="Compact"/>
        <w:widowControl/>
        <w:numPr>
          <w:ilvl w:val="0"/>
          <w:numId w:val="953"/>
        </w:numPr>
        <w:rPr/>
      </w:pPr>
      <w:r>
        <w:rPr/>
        <w:t>revenue-to-incentive ratio;</w:t>
      </w:r>
    </w:p>
    <w:p>
      <w:pPr>
        <w:pStyle w:val="Compact"/>
        <w:widowControl/>
        <w:numPr>
          <w:ilvl w:val="0"/>
          <w:numId w:val="954"/>
        </w:numPr>
        <w:rPr/>
      </w:pPr>
      <w:r>
        <w:rPr/>
        <w:t>security-budget coverage by organic fees;</w:t>
      </w:r>
    </w:p>
    <w:p>
      <w:pPr>
        <w:pStyle w:val="Compact"/>
        <w:widowControl/>
        <w:numPr>
          <w:ilvl w:val="0"/>
          <w:numId w:val="955"/>
        </w:numPr>
        <w:rPr/>
      </w:pPr>
      <w:r>
        <w:rPr/>
        <w:t>dilution-adjusted value accrual.</w:t>
      </w:r>
    </w:p>
    <w:p>
      <w:pPr>
        <w:pStyle w:val="Normal"/>
        <w:rPr/>
      </w:pPr>
      <w:bookmarkStart w:id="181" w:name="value-capture-and-sustainability"/>
      <w:r>
        <w:rPr/>
        <w:t>This component does not assume that every network must burn tokens or distribute revenue. It measures whether the economic design captures enough value to support the system’s stated function.</w:t>
      </w:r>
      <w:bookmarkEnd w:id="181"/>
    </w:p>
    <w:p>
      <w:pPr>
        <w:pStyle w:val="Heading2"/>
        <w:keepNext w:val="true"/>
        <w:keepLines/>
        <w:widowControl/>
        <w:rPr/>
      </w:pPr>
      <w:bookmarkStart w:id="182" w:name="__RefHeading___Toc8339_528838595"/>
      <w:bookmarkEnd w:id="182"/>
      <w:r>
        <w:rPr/>
        <w:t>11.7 Persistence and activity quality</w:t>
      </w:r>
    </w:p>
    <w:p>
      <w:pPr>
        <w:pStyle w:val="Normal"/>
        <w:rPr/>
      </w:pPr>
      <w:r>
        <w:rPr/>
        <w:t>Persistence discounts short-term campaigns and manipulative activity. It considers:</w:t>
      </w:r>
    </w:p>
    <w:p>
      <w:pPr>
        <w:pStyle w:val="Compact"/>
        <w:widowControl/>
        <w:numPr>
          <w:ilvl w:val="0"/>
          <w:numId w:val="956"/>
        </w:numPr>
        <w:rPr/>
      </w:pPr>
      <w:r>
        <w:rPr/>
        <w:t>30-, 90- and 365-day retention;</w:t>
      </w:r>
    </w:p>
    <w:p>
      <w:pPr>
        <w:pStyle w:val="Compact"/>
        <w:widowControl/>
        <w:numPr>
          <w:ilvl w:val="0"/>
          <w:numId w:val="957"/>
        </w:numPr>
        <w:rPr/>
      </w:pPr>
      <w:r>
        <w:rPr/>
        <w:t>activity diversity across applications and categories;</w:t>
      </w:r>
    </w:p>
    <w:p>
      <w:pPr>
        <w:pStyle w:val="Compact"/>
        <w:widowControl/>
        <w:numPr>
          <w:ilvl w:val="0"/>
          <w:numId w:val="958"/>
        </w:numPr>
        <w:rPr/>
      </w:pPr>
      <w:r>
        <w:rPr/>
        <w:t>dependence on token incentives;</w:t>
      </w:r>
    </w:p>
    <w:p>
      <w:pPr>
        <w:pStyle w:val="Compact"/>
        <w:widowControl/>
        <w:numPr>
          <w:ilvl w:val="0"/>
          <w:numId w:val="959"/>
        </w:numPr>
        <w:rPr/>
      </w:pPr>
      <w:r>
        <w:rPr/>
        <w:t>circular transfers and wash-activity indicators;</w:t>
      </w:r>
    </w:p>
    <w:p>
      <w:pPr>
        <w:pStyle w:val="Compact"/>
        <w:widowControl/>
        <w:numPr>
          <w:ilvl w:val="0"/>
          <w:numId w:val="960"/>
        </w:numPr>
        <w:rPr/>
      </w:pPr>
      <w:r>
        <w:rPr/>
        <w:t>stability of settlement and fee generation;</w:t>
      </w:r>
    </w:p>
    <w:p>
      <w:pPr>
        <w:pStyle w:val="Compact"/>
        <w:widowControl/>
        <w:numPr>
          <w:ilvl w:val="0"/>
          <w:numId w:val="961"/>
        </w:numPr>
        <w:rPr/>
      </w:pPr>
      <w:bookmarkStart w:id="183" w:name="persistence-and-activity-quality"/>
      <w:r>
        <w:rPr/>
        <w:t>concentration among a small number of applications or counterparties.</w:t>
      </w:r>
      <w:bookmarkEnd w:id="183"/>
    </w:p>
    <w:p>
      <w:pPr>
        <w:pStyle w:val="Heading2"/>
        <w:keepNext w:val="true"/>
        <w:keepLines/>
        <w:widowControl/>
        <w:rPr/>
      </w:pPr>
      <w:bookmarkStart w:id="184" w:name="__RefHeading___Toc8341_528838595"/>
      <w:bookmarkEnd w:id="184"/>
      <w:r>
        <w:rPr/>
        <w:t>11.8 PoV exclusions</w:t>
      </w:r>
    </w:p>
    <w:p>
      <w:pPr>
        <w:pStyle w:val="Normal"/>
        <w:rPr/>
      </w:pPr>
      <w:r>
        <w:rPr/>
        <w:t>PoV excludes or separately flags:</w:t>
      </w:r>
    </w:p>
    <w:p>
      <w:pPr>
        <w:pStyle w:val="Compact"/>
        <w:widowControl/>
        <w:numPr>
          <w:ilvl w:val="0"/>
          <w:numId w:val="962"/>
        </w:numPr>
        <w:rPr/>
      </w:pPr>
      <w:r>
        <w:rPr/>
        <w:t>internal system transactions that do not represent economic demand;</w:t>
      </w:r>
    </w:p>
    <w:p>
      <w:pPr>
        <w:pStyle w:val="Compact"/>
        <w:widowControl/>
        <w:numPr>
          <w:ilvl w:val="0"/>
          <w:numId w:val="963"/>
        </w:numPr>
        <w:rPr/>
      </w:pPr>
      <w:r>
        <w:rPr/>
        <w:t>duplicated bridge mint and burn events;</w:t>
      </w:r>
    </w:p>
    <w:p>
      <w:pPr>
        <w:pStyle w:val="Compact"/>
        <w:widowControl/>
        <w:numPr>
          <w:ilvl w:val="0"/>
          <w:numId w:val="964"/>
        </w:numPr>
        <w:rPr/>
      </w:pPr>
      <w:r>
        <w:rPr/>
        <w:t>self-transfers and change outputs where identifiable;</w:t>
      </w:r>
    </w:p>
    <w:p>
      <w:pPr>
        <w:pStyle w:val="Compact"/>
        <w:widowControl/>
        <w:numPr>
          <w:ilvl w:val="0"/>
          <w:numId w:val="965"/>
        </w:numPr>
        <w:rPr/>
      </w:pPr>
      <w:r>
        <w:rPr/>
        <w:t>wash trading and circular volume;</w:t>
      </w:r>
    </w:p>
    <w:p>
      <w:pPr>
        <w:pStyle w:val="Compact"/>
        <w:widowControl/>
        <w:numPr>
          <w:ilvl w:val="0"/>
          <w:numId w:val="966"/>
        </w:numPr>
        <w:rPr/>
      </w:pPr>
      <w:r>
        <w:rPr/>
        <w:t>gross revenue before material incentive offsets when net economics are available;</w:t>
      </w:r>
    </w:p>
    <w:p>
      <w:pPr>
        <w:pStyle w:val="Compact"/>
        <w:widowControl/>
        <w:numPr>
          <w:ilvl w:val="0"/>
          <w:numId w:val="967"/>
        </w:numPr>
        <w:rPr/>
      </w:pPr>
      <w:bookmarkStart w:id="185" w:name="pov-exclusions"/>
      <w:r>
        <w:rPr/>
        <w:t>nominal token-value growth caused only by asset-price appreciation.</w:t>
      </w:r>
      <w:bookmarkEnd w:id="185"/>
    </w:p>
    <w:p>
      <w:pPr>
        <w:pStyle w:val="Heading2"/>
        <w:keepNext w:val="true"/>
        <w:keepLines/>
        <w:widowControl/>
        <w:rPr/>
      </w:pPr>
      <w:bookmarkStart w:id="186" w:name="__RefHeading___Toc8343_528838595"/>
      <w:bookmarkEnd w:id="186"/>
      <w:r>
        <w:rPr/>
        <w:t>11.9 Interpretation</w:t>
      </w:r>
    </w:p>
    <w:p>
      <w:pPr>
        <w:pStyle w:val="Normal"/>
        <w:rPr/>
      </w:pPr>
      <w:bookmarkStart w:id="187" w:name="interpretation-1"/>
      <w:bookmarkStart w:id="188" w:name="proof-of-value-pov"/>
      <w:r>
        <w:rPr/>
        <w:t>A high PoV indicates broad, persistent and economically meaningful activity with credible value capture. It does not by itself prove decentralisation, security or resilience; those are measured elsewhere.</w:t>
      </w:r>
      <w:bookmarkEnd w:id="187"/>
      <w:bookmarkEnd w:id="188"/>
    </w:p>
    <w:p>
      <w:pPr>
        <w:pStyle w:val="Heading1"/>
        <w:keepNext w:val="true"/>
        <w:keepLines/>
        <w:widowControl/>
        <w:pBdr>
          <w:bottom w:val="single" w:sz="6" w:space="5" w:color="8AB2BF"/>
        </w:pBdr>
        <w:jc w:val="left"/>
        <w:rPr/>
      </w:pPr>
      <w:bookmarkStart w:id="189" w:name="__RefHeading___Toc8345_528838595"/>
      <w:bookmarkEnd w:id="189"/>
      <w:r>
        <w:rPr/>
        <w:t>12. On-Chain Participation Index (OPI)</w:t>
      </w:r>
    </w:p>
    <w:p>
      <w:pPr>
        <w:pStyle w:val="Heading2"/>
        <w:keepNext w:val="true"/>
        <w:keepLines/>
        <w:widowControl/>
        <w:rPr/>
      </w:pPr>
      <w:bookmarkStart w:id="190" w:name="__RefHeading___Toc8347_528838595"/>
      <w:bookmarkEnd w:id="190"/>
      <w:r>
        <w:rPr/>
        <w:t>12.1 Purpose</w:t>
      </w:r>
    </w:p>
    <w:p>
      <w:pPr>
        <w:pStyle w:val="Normal"/>
        <w:rPr/>
      </w:pPr>
      <w:bookmarkStart w:id="191" w:name="purpose-3"/>
      <w:r>
        <w:rPr/>
        <w:t>OPI measures the breadth and quality of participation in using, securing, governing and developing a network. It treats participation as productive capacity rather than popularity.</w:t>
      </w:r>
      <w:bookmarkEnd w:id="191"/>
    </w:p>
    <w:p>
      <w:pPr>
        <w:pStyle w:val="Heading2"/>
        <w:keepNext w:val="true"/>
        <w:keepLines/>
        <w:widowControl/>
        <w:rPr/>
      </w:pPr>
      <w:bookmarkStart w:id="192" w:name="__RefHeading___Toc8349_528838595"/>
      <w:bookmarkEnd w:id="192"/>
      <w:r>
        <w:rPr/>
        <w:t>12.2 OPI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participant breadth</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Diversity and retention of economic participants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participation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of capital and operators securing the network</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participation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Meaningful involvement in shared decision-making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Developer participation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maintenance and productive software development</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and retention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avoidance of participant concentration</w:t>
            </w:r>
          </w:p>
        </w:tc>
      </w:tr>
    </w:tbl>
    <w:p>
      <w:pPr>
        <w:pStyle w:val="BodyText"/>
        <w:keepLines/>
        <w:spacing w:before="80" w:after="160"/>
        <w:jc w:val="center"/>
        <w:rPr/>
      </w:pPr>
      <w:r>
        <w:rPr/>
        <w:drawing>
          <wp:inline distT="0" distB="0" distL="0" distR="0">
            <wp:extent cx="5623560" cy="285750"/>
            <wp:effectExtent l="0" t="0" r="0" b="0"/>
            <wp:docPr id="22" name="Picture 22" descr="Equation&#10;OPI=0.25AP+0.20SP+0.15GP+0.20DP+0.20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quation&#10;OPI=0.25AP+0.20SP+0.15GP+0.20DP+0.20DR"/>
                    <pic:cNvPicPr>
                      <a:picLocks noChangeAspect="1" noChangeArrowheads="1"/>
                    </pic:cNvPicPr>
                  </pic:nvPicPr>
                  <pic:blipFill>
                    <a:blip r:embed="rId23"/>
                    <a:stretch>
                      <a:fillRect/>
                    </a:stretch>
                  </pic:blipFill>
                  <pic:spPr bwMode="auto">
                    <a:xfrm>
                      <a:off x="0" y="0"/>
                      <a:ext cx="5623560" cy="285750"/>
                    </a:xfrm>
                    <a:prstGeom prst="rect">
                      <a:avLst/>
                    </a:prstGeom>
                    <a:noFill/>
                  </pic:spPr>
                </pic:pic>
              </a:graphicData>
            </a:graphic>
          </wp:inline>
        </w:drawing>
      </w:r>
    </w:p>
    <w:p>
      <w:pPr>
        <w:pStyle w:val="Heading2"/>
        <w:keepNext w:val="true"/>
        <w:keepLines/>
        <w:widowControl/>
        <w:rPr/>
      </w:pPr>
      <w:bookmarkStart w:id="193" w:name="__RefHeading___Toc8351_528838595"/>
      <w:bookmarkEnd w:id="193"/>
      <w:r>
        <w:rPr/>
        <w:t>12.3 Active participant breadth</w:t>
      </w:r>
    </w:p>
    <w:p>
      <w:pPr>
        <w:pStyle w:val="Normal"/>
        <w:rPr/>
      </w:pPr>
      <w:r>
        <w:rPr/>
        <w:t>This sub-index uses the active-entity data developed for PoV but focuses on distribution rather than output. It examines:</w:t>
      </w:r>
    </w:p>
    <w:p>
      <w:pPr>
        <w:pStyle w:val="Compact"/>
        <w:widowControl/>
        <w:numPr>
          <w:ilvl w:val="0"/>
          <w:numId w:val="968"/>
        </w:numPr>
        <w:rPr/>
      </w:pPr>
      <w:r>
        <w:rPr/>
        <w:t>number of active entities relative to network history and capacity;</w:t>
      </w:r>
    </w:p>
    <w:p>
      <w:pPr>
        <w:pStyle w:val="Compact"/>
        <w:widowControl/>
        <w:numPr>
          <w:ilvl w:val="0"/>
          <w:numId w:val="969"/>
        </w:numPr>
        <w:rPr/>
      </w:pPr>
      <w:r>
        <w:rPr/>
        <w:t>new-to-returning participant balance;</w:t>
      </w:r>
    </w:p>
    <w:p>
      <w:pPr>
        <w:pStyle w:val="Compact"/>
        <w:widowControl/>
        <w:numPr>
          <w:ilvl w:val="0"/>
          <w:numId w:val="970"/>
        </w:numPr>
        <w:rPr/>
      </w:pPr>
      <w:r>
        <w:rPr/>
        <w:t>cohort retention;</w:t>
      </w:r>
    </w:p>
    <w:p>
      <w:pPr>
        <w:pStyle w:val="Compact"/>
        <w:widowControl/>
        <w:numPr>
          <w:ilvl w:val="0"/>
          <w:numId w:val="971"/>
        </w:numPr>
        <w:rPr/>
      </w:pPr>
      <w:r>
        <w:rPr/>
        <w:t>geographic or jurisdictional diversity where verifiable and privacy-preserving;</w:t>
      </w:r>
    </w:p>
    <w:p>
      <w:pPr>
        <w:pStyle w:val="Compact"/>
        <w:widowControl/>
        <w:numPr>
          <w:ilvl w:val="0"/>
          <w:numId w:val="972"/>
        </w:numPr>
        <w:rPr/>
      </w:pPr>
      <w:r>
        <w:rPr/>
        <w:t>participant concentration by activity share;</w:t>
      </w:r>
    </w:p>
    <w:p>
      <w:pPr>
        <w:pStyle w:val="Compact"/>
        <w:widowControl/>
        <w:numPr>
          <w:ilvl w:val="0"/>
          <w:numId w:val="973"/>
        </w:numPr>
        <w:rPr/>
      </w:pPr>
      <w:bookmarkStart w:id="194" w:name="active-participant-breadth"/>
      <w:r>
        <w:rPr/>
        <w:t>diversity of application categories used.</w:t>
      </w:r>
      <w:bookmarkEnd w:id="194"/>
    </w:p>
    <w:p>
      <w:pPr>
        <w:pStyle w:val="Heading2"/>
        <w:keepNext w:val="true"/>
        <w:keepLines/>
        <w:widowControl/>
        <w:rPr/>
      </w:pPr>
      <w:bookmarkStart w:id="195" w:name="__RefHeading___Toc8353_528838595"/>
      <w:bookmarkEnd w:id="195"/>
      <w:r>
        <w:rPr/>
        <w:t>12.4 Security participation</w:t>
      </w:r>
    </w:p>
    <w:p>
      <w:pPr>
        <w:pStyle w:val="Normal"/>
        <w:rPr/>
      </w:pPr>
      <w:r>
        <w:rPr/>
        <w:t>Security participation adapts to consensus architecture.</w:t>
      </w:r>
    </w:p>
    <w:p>
      <w:pPr>
        <w:pStyle w:val="BodyText"/>
        <w:widowControl/>
        <w:rPr/>
      </w:pPr>
      <w:r>
        <w:rPr/>
        <w:t>For proof-of-stake networks, evidence may include active validators, delegated stake, stake participation, effective stake distribution and independent operator count. For proof-of-work networks, evidence may include mining entities, pool distribution, estimated independent operators and work participation. For rollups, evidence may include sequencer operation, prover participation, validator committees and availability of forced inclusion or escape mechanisms.</w:t>
      </w:r>
    </w:p>
    <w:p>
      <w:pPr>
        <w:pStyle w:val="BodyText"/>
        <w:widowControl/>
        <w:rPr/>
      </w:pPr>
      <w:bookmarkStart w:id="196" w:name="security-participation"/>
      <w:r>
        <w:rPr/>
        <w:t>The sub-index rewards broad effective control, not merely a large number of nominal identities.</w:t>
      </w:r>
      <w:bookmarkEnd w:id="196"/>
    </w:p>
    <w:p>
      <w:pPr>
        <w:pStyle w:val="Heading2"/>
        <w:keepNext w:val="true"/>
        <w:keepLines/>
        <w:widowControl/>
        <w:rPr/>
      </w:pPr>
      <w:bookmarkStart w:id="197" w:name="__RefHeading___Toc8355_528838595"/>
      <w:bookmarkEnd w:id="197"/>
      <w:r>
        <w:rPr/>
        <w:t>12.5 Governance participation</w:t>
      </w:r>
    </w:p>
    <w:p>
      <w:pPr>
        <w:pStyle w:val="Normal"/>
        <w:rPr/>
      </w:pPr>
      <w:r>
        <w:rPr/>
        <w:t>Governance evidence may include:</w:t>
      </w:r>
    </w:p>
    <w:p>
      <w:pPr>
        <w:pStyle w:val="Compact"/>
        <w:widowControl/>
        <w:numPr>
          <w:ilvl w:val="0"/>
          <w:numId w:val="974"/>
        </w:numPr>
        <w:rPr/>
      </w:pPr>
      <w:r>
        <w:rPr/>
        <w:t>voter or delegate turnout;</w:t>
      </w:r>
    </w:p>
    <w:p>
      <w:pPr>
        <w:pStyle w:val="Compact"/>
        <w:widowControl/>
        <w:numPr>
          <w:ilvl w:val="0"/>
          <w:numId w:val="975"/>
        </w:numPr>
        <w:rPr/>
      </w:pPr>
      <w:r>
        <w:rPr/>
        <w:t>voting-power concentration;</w:t>
      </w:r>
    </w:p>
    <w:p>
      <w:pPr>
        <w:pStyle w:val="Compact"/>
        <w:widowControl/>
        <w:numPr>
          <w:ilvl w:val="0"/>
          <w:numId w:val="976"/>
        </w:numPr>
        <w:rPr/>
      </w:pPr>
      <w:r>
        <w:rPr/>
        <w:t>proposal diversity and quality;</w:t>
      </w:r>
    </w:p>
    <w:p>
      <w:pPr>
        <w:pStyle w:val="Compact"/>
        <w:widowControl/>
        <w:numPr>
          <w:ilvl w:val="0"/>
          <w:numId w:val="977"/>
        </w:numPr>
        <w:rPr/>
      </w:pPr>
      <w:r>
        <w:rPr/>
        <w:t>deliberation period and transparency;</w:t>
      </w:r>
    </w:p>
    <w:p>
      <w:pPr>
        <w:pStyle w:val="Compact"/>
        <w:widowControl/>
        <w:numPr>
          <w:ilvl w:val="0"/>
          <w:numId w:val="978"/>
        </w:numPr>
        <w:rPr/>
      </w:pPr>
      <w:r>
        <w:rPr/>
        <w:t>execution rate of approved decisions;</w:t>
      </w:r>
    </w:p>
    <w:p>
      <w:pPr>
        <w:pStyle w:val="Compact"/>
        <w:widowControl/>
        <w:numPr>
          <w:ilvl w:val="0"/>
          <w:numId w:val="979"/>
        </w:numPr>
        <w:rPr/>
      </w:pPr>
      <w:r>
        <w:rPr/>
        <w:t>voter retention;</w:t>
      </w:r>
    </w:p>
    <w:p>
      <w:pPr>
        <w:pStyle w:val="Compact"/>
        <w:widowControl/>
        <w:numPr>
          <w:ilvl w:val="0"/>
          <w:numId w:val="980"/>
        </w:numPr>
        <w:rPr/>
      </w:pPr>
      <w:r>
        <w:rPr/>
        <w:t>participation in protocol, treasury or validator governance.</w:t>
      </w:r>
    </w:p>
    <w:p>
      <w:pPr>
        <w:pStyle w:val="Normal"/>
        <w:rPr/>
      </w:pPr>
      <w:bookmarkStart w:id="198" w:name="governance-participation"/>
      <w:r>
        <w:rPr/>
        <w:t>Networks without formal token governance are not automatically deficient. Their adapter measures the actual decision process, including improvement proposals, client governance, miner or validator signalling and transparent social coordination. Confidence falls where decision authority cannot be observed.</w:t>
      </w:r>
      <w:bookmarkEnd w:id="198"/>
    </w:p>
    <w:p>
      <w:pPr>
        <w:pStyle w:val="Heading2"/>
        <w:keepNext w:val="true"/>
        <w:keepLines/>
        <w:widowControl/>
        <w:rPr/>
      </w:pPr>
      <w:bookmarkStart w:id="199" w:name="__RefHeading___Toc8357_528838595"/>
      <w:bookmarkEnd w:id="199"/>
      <w:r>
        <w:rPr/>
        <w:t>12.6 Developer participation</w:t>
      </w:r>
    </w:p>
    <w:p>
      <w:pPr>
        <w:pStyle w:val="Normal"/>
        <w:rPr/>
      </w:pPr>
      <w:r>
        <w:rPr/>
        <w:t>Developer participation measures sustained productive work rather than total commits. Evidence may include:</w:t>
      </w:r>
    </w:p>
    <w:p>
      <w:pPr>
        <w:pStyle w:val="Compact"/>
        <w:widowControl/>
        <w:numPr>
          <w:ilvl w:val="0"/>
          <w:numId w:val="981"/>
        </w:numPr>
        <w:rPr/>
      </w:pPr>
      <w:r>
        <w:rPr/>
        <w:t>active core and ecosystem developers;</w:t>
      </w:r>
    </w:p>
    <w:p>
      <w:pPr>
        <w:pStyle w:val="Compact"/>
        <w:widowControl/>
        <w:numPr>
          <w:ilvl w:val="0"/>
          <w:numId w:val="982"/>
        </w:numPr>
        <w:rPr/>
      </w:pPr>
      <w:r>
        <w:rPr/>
        <w:t>contributor retention;</w:t>
      </w:r>
    </w:p>
    <w:p>
      <w:pPr>
        <w:pStyle w:val="Compact"/>
        <w:widowControl/>
        <w:numPr>
          <w:ilvl w:val="0"/>
          <w:numId w:val="983"/>
        </w:numPr>
        <w:rPr/>
      </w:pPr>
      <w:r>
        <w:rPr/>
        <w:t>unique organisations contributing;</w:t>
      </w:r>
    </w:p>
    <w:p>
      <w:pPr>
        <w:pStyle w:val="Compact"/>
        <w:widowControl/>
        <w:numPr>
          <w:ilvl w:val="0"/>
          <w:numId w:val="984"/>
        </w:numPr>
        <w:rPr/>
      </w:pPr>
      <w:r>
        <w:rPr/>
        <w:t>reviewed and merged changes;</w:t>
      </w:r>
    </w:p>
    <w:p>
      <w:pPr>
        <w:pStyle w:val="Compact"/>
        <w:widowControl/>
        <w:numPr>
          <w:ilvl w:val="0"/>
          <w:numId w:val="985"/>
        </w:numPr>
        <w:rPr/>
      </w:pPr>
      <w:r>
        <w:rPr/>
        <w:t>release cadence and maintenance responsiveness;</w:t>
      </w:r>
    </w:p>
    <w:p>
      <w:pPr>
        <w:pStyle w:val="Compact"/>
        <w:widowControl/>
        <w:numPr>
          <w:ilvl w:val="0"/>
          <w:numId w:val="986"/>
        </w:numPr>
        <w:rPr/>
      </w:pPr>
      <w:r>
        <w:rPr/>
        <w:t>dependency and client diversity;</w:t>
      </w:r>
    </w:p>
    <w:p>
      <w:pPr>
        <w:pStyle w:val="Compact"/>
        <w:widowControl/>
        <w:numPr>
          <w:ilvl w:val="0"/>
          <w:numId w:val="987"/>
        </w:numPr>
        <w:rPr/>
      </w:pPr>
      <w:r>
        <w:rPr/>
        <w:t>documentation, tooling and application deployment.</w:t>
      </w:r>
    </w:p>
    <w:p>
      <w:pPr>
        <w:pStyle w:val="Normal"/>
        <w:rPr/>
      </w:pPr>
      <w:bookmarkStart w:id="200" w:name="developer-participation"/>
      <w:r>
        <w:rPr/>
        <w:t>Automated commits, generated files, forks and mirrored repositories are filtered where possible. Developer identities are aggregated in a privacy-conscious manner.</w:t>
      </w:r>
      <w:bookmarkEnd w:id="200"/>
    </w:p>
    <w:p>
      <w:pPr>
        <w:pStyle w:val="Heading2"/>
        <w:keepNext w:val="true"/>
        <w:keepLines/>
        <w:widowControl/>
        <w:rPr/>
      </w:pPr>
      <w:bookmarkStart w:id="201" w:name="__RefHeading___Toc8359_528838595"/>
      <w:bookmarkEnd w:id="201"/>
      <w:r>
        <w:rPr/>
        <w:t>12.7 Distribution and retention</w:t>
      </w:r>
    </w:p>
    <w:p>
      <w:pPr>
        <w:pStyle w:val="Normal"/>
        <w:rPr/>
      </w:pPr>
      <w:r>
        <w:rPr/>
        <w:t>This sub-index reduces scores for participation dominated by a small set of users, validators, delegates, developers or applications. It combines Gini, Herfindahl-Hirschman or top-share measures with retention across time.</w:t>
      </w:r>
    </w:p>
    <w:p>
      <w:pPr>
        <w:pStyle w:val="BodyText"/>
        <w:widowControl/>
        <w:rPr/>
      </w:pPr>
      <w:bookmarkStart w:id="202" w:name="distribution-and-retention"/>
      <w:r>
        <w:rPr/>
        <w:t>Because concentration measures can be sensitive to identity clustering, the adapter publishes both raw-identity and identified-entity results when available.</w:t>
      </w:r>
      <w:bookmarkEnd w:id="202"/>
    </w:p>
    <w:p>
      <w:pPr>
        <w:pStyle w:val="Heading2"/>
        <w:keepNext w:val="true"/>
        <w:keepLines/>
        <w:widowControl/>
        <w:rPr/>
      </w:pPr>
      <w:bookmarkStart w:id="203" w:name="__RefHeading___Toc8361_528838595"/>
      <w:bookmarkEnd w:id="203"/>
      <w:r>
        <w:rPr/>
        <w:t>12.8 Interpretation</w:t>
      </w:r>
    </w:p>
    <w:p>
      <w:pPr>
        <w:pStyle w:val="Normal"/>
        <w:rPr/>
      </w:pPr>
      <w:bookmarkStart w:id="204" w:name="interpretation-2"/>
      <w:bookmarkStart w:id="205" w:name="on-chain-participation-index-opi"/>
      <w:r>
        <w:rPr/>
        <w:t>A high OPI indicates that the network is actively maintained and used by a broad, persistent set of participants. It does not mean all governance decisions are good; it measures participation quality and distribution, while PII and VRS capture institutional and control risks.</w:t>
      </w:r>
      <w:bookmarkEnd w:id="204"/>
      <w:bookmarkEnd w:id="205"/>
    </w:p>
    <w:p>
      <w:pPr>
        <w:pStyle w:val="Heading1"/>
        <w:keepNext w:val="true"/>
        <w:keepLines/>
        <w:widowControl/>
        <w:pBdr>
          <w:bottom w:val="single" w:sz="6" w:space="5" w:color="8AB2BF"/>
        </w:pBdr>
        <w:jc w:val="left"/>
        <w:rPr/>
      </w:pPr>
      <w:bookmarkStart w:id="206" w:name="__RefHeading___Toc8363_528838595"/>
      <w:bookmarkEnd w:id="206"/>
      <w:r>
        <w:rPr/>
        <w:t>13. Decentralised Liquidity Index (DLI)</w:t>
      </w:r>
    </w:p>
    <w:p>
      <w:pPr>
        <w:pStyle w:val="Heading2"/>
        <w:keepNext w:val="true"/>
        <w:keepLines/>
        <w:widowControl/>
        <w:rPr/>
      </w:pPr>
      <w:bookmarkStart w:id="207" w:name="__RefHeading___Toc8365_528838595"/>
      <w:bookmarkEnd w:id="207"/>
      <w:r>
        <w:rPr/>
        <w:t>13.1 Purpose</w:t>
      </w:r>
    </w:p>
    <w:p>
      <w:pPr>
        <w:pStyle w:val="Normal"/>
        <w:rPr/>
      </w:pPr>
      <w:bookmarkStart w:id="208" w:name="purpose-4"/>
      <w:r>
        <w:rPr/>
        <w:t>DLI measures whether a network supports usable, diversified and resilient on-chain liquidity. It is independent of any future VOX market. This prevents a circular dependency in which VOX liquidity would determine the VTS used to authorise VOX.</w:t>
      </w:r>
      <w:bookmarkEnd w:id="208"/>
    </w:p>
    <w:p>
      <w:pPr>
        <w:pStyle w:val="Heading2"/>
        <w:keepNext w:val="true"/>
        <w:keepLines/>
        <w:widowControl/>
        <w:rPr/>
      </w:pPr>
      <w:bookmarkStart w:id="209" w:name="__RefHeading___Toc8367_528838595"/>
      <w:bookmarkEnd w:id="209"/>
      <w:r>
        <w:rPr/>
        <w:t>13.2 DLI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Executable depth</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Capital available near market prices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Slippage efficiency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Price impact for standardised trade sizes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Volume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Organic and persistent trading activity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Venue and asset diversity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of markets and liquidity sources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Concentration and stress resilience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retain function under withdrawals and volatility</w:t>
            </w:r>
          </w:p>
        </w:tc>
      </w:tr>
    </w:tbl>
    <w:p>
      <w:pPr>
        <w:pStyle w:val="BodyText"/>
        <w:keepLines/>
        <w:spacing w:before="80" w:after="160"/>
        <w:jc w:val="center"/>
        <w:rPr/>
      </w:pPr>
      <w:r>
        <w:rPr/>
        <w:drawing>
          <wp:inline distT="0" distB="0" distL="0" distR="0">
            <wp:extent cx="5623560" cy="295275"/>
            <wp:effectExtent l="0" t="0" r="0" b="0"/>
            <wp:docPr id="23" name="Picture 23" descr="Equation&#10;DLI=0.25ED+0.25SE+0.15VQ+0.15VD+0.20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Equation&#10;DLI=0.25ED+0.25SE+0.15VQ+0.15VD+0.20CR"/>
                    <pic:cNvPicPr>
                      <a:picLocks noChangeAspect="1" noChangeArrowheads="1"/>
                    </pic:cNvPicPr>
                  </pic:nvPicPr>
                  <pic:blipFill>
                    <a:blip r:embed="rId24"/>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210" w:name="__RefHeading___Toc8369_528838595"/>
      <w:bookmarkEnd w:id="210"/>
      <w:r>
        <w:rPr/>
        <w:t>13.3 Executable depth</w:t>
      </w:r>
    </w:p>
    <w:p>
      <w:pPr>
        <w:pStyle w:val="Normal"/>
        <w:rPr/>
      </w:pPr>
      <w:r>
        <w:rPr/>
        <w:t>Total value locked is not executable depth. DLI simulates or observes liquidity available within defined price-impact bands for representative assets and trade sizes. Measurements may include:</w:t>
      </w:r>
    </w:p>
    <w:p>
      <w:pPr>
        <w:pStyle w:val="Compact"/>
        <w:widowControl/>
        <w:numPr>
          <w:ilvl w:val="0"/>
          <w:numId w:val="988"/>
        </w:numPr>
        <w:rPr/>
      </w:pPr>
      <w:r>
        <w:rPr/>
        <w:t>depth within 0.5%, 1% and 2% price impact;</w:t>
      </w:r>
    </w:p>
    <w:p>
      <w:pPr>
        <w:pStyle w:val="Compact"/>
        <w:widowControl/>
        <w:numPr>
          <w:ilvl w:val="0"/>
          <w:numId w:val="989"/>
        </w:numPr>
        <w:rPr/>
      </w:pPr>
      <w:r>
        <w:rPr/>
        <w:t>depth relative to market capitalisation and daily volume;</w:t>
      </w:r>
    </w:p>
    <w:p>
      <w:pPr>
        <w:pStyle w:val="Compact"/>
        <w:widowControl/>
        <w:numPr>
          <w:ilvl w:val="0"/>
          <w:numId w:val="990"/>
        </w:numPr>
        <w:rPr/>
      </w:pPr>
      <w:r>
        <w:rPr/>
        <w:t>stablecoin-to-native, stablecoin-to-stablecoin and major application markets;</w:t>
      </w:r>
    </w:p>
    <w:p>
      <w:pPr>
        <w:pStyle w:val="Compact"/>
        <w:widowControl/>
        <w:numPr>
          <w:ilvl w:val="0"/>
          <w:numId w:val="991"/>
        </w:numPr>
        <w:rPr/>
      </w:pPr>
      <w:r>
        <w:rPr/>
        <w:t>lending liquidity available without extreme utilisation changes;</w:t>
      </w:r>
    </w:p>
    <w:p>
      <w:pPr>
        <w:pStyle w:val="Compact"/>
        <w:widowControl/>
        <w:numPr>
          <w:ilvl w:val="0"/>
          <w:numId w:val="992"/>
        </w:numPr>
        <w:rPr/>
      </w:pPr>
      <w:bookmarkStart w:id="211" w:name="executable-depth"/>
      <w:r>
        <w:rPr/>
        <w:t>derivative open interest supported by credible collateral and liquidation capacity.</w:t>
      </w:r>
      <w:bookmarkEnd w:id="211"/>
    </w:p>
    <w:p>
      <w:pPr>
        <w:pStyle w:val="Heading2"/>
        <w:keepNext w:val="true"/>
        <w:keepLines/>
        <w:widowControl/>
        <w:rPr/>
      </w:pPr>
      <w:bookmarkStart w:id="212" w:name="__RefHeading___Toc8371_528838595"/>
      <w:bookmarkEnd w:id="212"/>
      <w:r>
        <w:rPr/>
        <w:t>13.4 Slippage efficiency</w:t>
      </w:r>
    </w:p>
    <w:p>
      <w:pPr>
        <w:pStyle w:val="Normal"/>
        <w:rPr/>
      </w:pPr>
      <w:r>
        <w:rPr/>
        <w:t>Slippage is a negative-direction metric. Standard trade sizes may be defined as both absolute reference amounts and proportions of market liquidity. The adapter reports routing assumptions, venues, gas costs and whether prices are quoted from simulations or executed trades.</w:t>
      </w:r>
    </w:p>
    <w:p>
      <w:pPr>
        <w:pStyle w:val="BodyText"/>
        <w:widowControl/>
        <w:rPr/>
      </w:pPr>
      <w:bookmarkStart w:id="213" w:name="slippage-efficiency"/>
      <w:r>
        <w:rPr/>
        <w:t>A network does not receive a high score merely because its native asset has a liquid centralised market. DLI measures on-chain or protocol-integrated financial depth within the canonical network scope.</w:t>
      </w:r>
      <w:bookmarkEnd w:id="213"/>
    </w:p>
    <w:p>
      <w:pPr>
        <w:pStyle w:val="Heading2"/>
        <w:keepNext w:val="true"/>
        <w:keepLines/>
        <w:widowControl/>
        <w:rPr/>
      </w:pPr>
      <w:bookmarkStart w:id="214" w:name="__RefHeading___Toc8373_528838595"/>
      <w:bookmarkEnd w:id="214"/>
      <w:r>
        <w:rPr/>
        <w:t>13.5 Volume quality</w:t>
      </w:r>
    </w:p>
    <w:p>
      <w:pPr>
        <w:pStyle w:val="Normal"/>
        <w:rPr/>
      </w:pPr>
      <w:r>
        <w:rPr/>
        <w:t>Volume quality filters wash trading, self-routing, excessive incentive dependence and short-lived spikes. It measures:</w:t>
      </w:r>
    </w:p>
    <w:p>
      <w:pPr>
        <w:pStyle w:val="Compact"/>
        <w:widowControl/>
        <w:numPr>
          <w:ilvl w:val="0"/>
          <w:numId w:val="993"/>
        </w:numPr>
        <w:rPr/>
      </w:pPr>
      <w:r>
        <w:rPr/>
        <w:t>persistent organic volume;</w:t>
      </w:r>
    </w:p>
    <w:p>
      <w:pPr>
        <w:pStyle w:val="Compact"/>
        <w:widowControl/>
        <w:numPr>
          <w:ilvl w:val="0"/>
          <w:numId w:val="994"/>
        </w:numPr>
        <w:rPr/>
      </w:pPr>
      <w:r>
        <w:rPr/>
        <w:t>unique trading entities where observable;</w:t>
      </w:r>
    </w:p>
    <w:p>
      <w:pPr>
        <w:pStyle w:val="Compact"/>
        <w:widowControl/>
        <w:numPr>
          <w:ilvl w:val="0"/>
          <w:numId w:val="995"/>
        </w:numPr>
        <w:rPr/>
      </w:pPr>
      <w:r>
        <w:rPr/>
        <w:t>fee-generating volume;</w:t>
      </w:r>
    </w:p>
    <w:p>
      <w:pPr>
        <w:pStyle w:val="Compact"/>
        <w:widowControl/>
        <w:numPr>
          <w:ilvl w:val="0"/>
          <w:numId w:val="996"/>
        </w:numPr>
        <w:rPr/>
      </w:pPr>
      <w:r>
        <w:rPr/>
        <w:t>volume-to-incentive ratio;</w:t>
      </w:r>
    </w:p>
    <w:p>
      <w:pPr>
        <w:pStyle w:val="Compact"/>
        <w:widowControl/>
        <w:numPr>
          <w:ilvl w:val="0"/>
          <w:numId w:val="997"/>
        </w:numPr>
        <w:rPr/>
      </w:pPr>
      <w:r>
        <w:rPr/>
        <w:t>volume distribution across assets and venues;</w:t>
      </w:r>
    </w:p>
    <w:p>
      <w:pPr>
        <w:pStyle w:val="Compact"/>
        <w:widowControl/>
        <w:numPr>
          <w:ilvl w:val="0"/>
          <w:numId w:val="998"/>
        </w:numPr>
        <w:rPr/>
      </w:pPr>
      <w:bookmarkStart w:id="215" w:name="volume-quality"/>
      <w:r>
        <w:rPr/>
        <w:t>consistency during volatile periods.</w:t>
      </w:r>
      <w:bookmarkEnd w:id="215"/>
    </w:p>
    <w:p>
      <w:pPr>
        <w:pStyle w:val="Heading2"/>
        <w:keepNext w:val="true"/>
        <w:keepLines/>
        <w:widowControl/>
        <w:rPr/>
      </w:pPr>
      <w:bookmarkStart w:id="216" w:name="__RefHeading___Toc8375_528838595"/>
      <w:bookmarkEnd w:id="216"/>
      <w:r>
        <w:rPr/>
        <w:t>13.6 Venue and asset diversity</w:t>
      </w:r>
    </w:p>
    <w:p>
      <w:pPr>
        <w:pStyle w:val="Normal"/>
        <w:rPr/>
      </w:pPr>
      <w:r>
        <w:rPr/>
        <w:t>Liquidity concentrated in one contract, one stablecoin or one external bridge is fragile. Diversity considers:</w:t>
      </w:r>
    </w:p>
    <w:p>
      <w:pPr>
        <w:pStyle w:val="Compact"/>
        <w:widowControl/>
        <w:numPr>
          <w:ilvl w:val="0"/>
          <w:numId w:val="999"/>
        </w:numPr>
        <w:rPr/>
      </w:pPr>
      <w:r>
        <w:rPr/>
        <w:t>independent exchange and lending venues;</w:t>
      </w:r>
    </w:p>
    <w:p>
      <w:pPr>
        <w:pStyle w:val="Compact"/>
        <w:widowControl/>
        <w:numPr>
          <w:ilvl w:val="0"/>
          <w:numId w:val="1000"/>
        </w:numPr>
        <w:rPr/>
      </w:pPr>
      <w:r>
        <w:rPr/>
        <w:t>asset categories and quote assets;</w:t>
      </w:r>
    </w:p>
    <w:p>
      <w:pPr>
        <w:pStyle w:val="Compact"/>
        <w:widowControl/>
        <w:numPr>
          <w:ilvl w:val="0"/>
          <w:numId w:val="1001"/>
        </w:numPr>
        <w:rPr/>
      </w:pPr>
      <w:r>
        <w:rPr/>
        <w:t>stablecoin issuer concentration;</w:t>
      </w:r>
    </w:p>
    <w:p>
      <w:pPr>
        <w:pStyle w:val="Compact"/>
        <w:widowControl/>
        <w:numPr>
          <w:ilvl w:val="0"/>
          <w:numId w:val="1002"/>
        </w:numPr>
        <w:rPr/>
      </w:pPr>
      <w:r>
        <w:rPr/>
        <w:t>oracle and bridge dependencies;</w:t>
      </w:r>
    </w:p>
    <w:p>
      <w:pPr>
        <w:pStyle w:val="Compact"/>
        <w:widowControl/>
        <w:numPr>
          <w:ilvl w:val="0"/>
          <w:numId w:val="1003"/>
        </w:numPr>
        <w:rPr/>
      </w:pPr>
      <w:r>
        <w:rPr/>
        <w:t>market-maker or liquidity-provider concentration;</w:t>
      </w:r>
    </w:p>
    <w:p>
      <w:pPr>
        <w:pStyle w:val="Compact"/>
        <w:widowControl/>
        <w:numPr>
          <w:ilvl w:val="0"/>
          <w:numId w:val="1004"/>
        </w:numPr>
        <w:rPr/>
      </w:pPr>
      <w:r>
        <w:rPr/>
        <w:t>interoperability across venues.</w:t>
      </w:r>
    </w:p>
    <w:p>
      <w:pPr>
        <w:pStyle w:val="Normal"/>
        <w:rPr/>
      </w:pPr>
      <w:bookmarkStart w:id="217" w:name="venue-and-asset-diversity"/>
      <w:r>
        <w:rPr/>
        <w:t>Diversity does not reward redundant forks controlled by the same entity.</w:t>
      </w:r>
      <w:bookmarkEnd w:id="217"/>
    </w:p>
    <w:p>
      <w:pPr>
        <w:pStyle w:val="Heading2"/>
        <w:keepNext w:val="true"/>
        <w:keepLines/>
        <w:widowControl/>
        <w:rPr/>
      </w:pPr>
      <w:bookmarkStart w:id="218" w:name="__RefHeading___Toc8377_528838595"/>
      <w:bookmarkEnd w:id="218"/>
      <w:r>
        <w:rPr/>
        <w:t>13.7 Concentration and stress resilience</w:t>
      </w:r>
    </w:p>
    <w:p>
      <w:pPr>
        <w:pStyle w:val="Normal"/>
        <w:rPr/>
      </w:pPr>
      <w:r>
        <w:rPr/>
        <w:t>This component tests how liquidity behaves under stress. Evidence may include:</w:t>
      </w:r>
    </w:p>
    <w:p>
      <w:pPr>
        <w:pStyle w:val="Compact"/>
        <w:widowControl/>
        <w:numPr>
          <w:ilvl w:val="0"/>
          <w:numId w:val="1005"/>
        </w:numPr>
        <w:rPr/>
      </w:pPr>
      <w:r>
        <w:rPr/>
        <w:t>top-provider and top-pool share;</w:t>
      </w:r>
    </w:p>
    <w:p>
      <w:pPr>
        <w:pStyle w:val="Compact"/>
        <w:widowControl/>
        <w:numPr>
          <w:ilvl w:val="0"/>
          <w:numId w:val="1006"/>
        </w:numPr>
        <w:rPr/>
      </w:pPr>
      <w:r>
        <w:rPr/>
        <w:t>withdrawal simulations;</w:t>
      </w:r>
    </w:p>
    <w:p>
      <w:pPr>
        <w:pStyle w:val="Compact"/>
        <w:widowControl/>
        <w:numPr>
          <w:ilvl w:val="0"/>
          <w:numId w:val="1007"/>
        </w:numPr>
        <w:rPr/>
      </w:pPr>
      <w:r>
        <w:rPr/>
        <w:t>historical drawdown in depth;</w:t>
      </w:r>
    </w:p>
    <w:p>
      <w:pPr>
        <w:pStyle w:val="Compact"/>
        <w:widowControl/>
        <w:numPr>
          <w:ilvl w:val="0"/>
          <w:numId w:val="1008"/>
        </w:numPr>
        <w:rPr/>
      </w:pPr>
      <w:r>
        <w:rPr/>
        <w:t>slippage during major market shocks;</w:t>
      </w:r>
    </w:p>
    <w:p>
      <w:pPr>
        <w:pStyle w:val="Compact"/>
        <w:widowControl/>
        <w:numPr>
          <w:ilvl w:val="0"/>
          <w:numId w:val="1009"/>
        </w:numPr>
        <w:rPr/>
      </w:pPr>
      <w:r>
        <w:rPr/>
        <w:t>liquidation performance;</w:t>
      </w:r>
    </w:p>
    <w:p>
      <w:pPr>
        <w:pStyle w:val="Compact"/>
        <w:widowControl/>
        <w:numPr>
          <w:ilvl w:val="0"/>
          <w:numId w:val="1010"/>
        </w:numPr>
        <w:rPr/>
      </w:pPr>
      <w:bookmarkStart w:id="219" w:name="concentration-and-stress-resilience"/>
      <w:r>
        <w:rPr/>
        <w:t>recovery time after exploits, de-pegs or bridge interruptions.</w:t>
      </w:r>
      <w:bookmarkEnd w:id="219"/>
    </w:p>
    <w:p>
      <w:pPr>
        <w:pStyle w:val="Heading2"/>
        <w:keepNext w:val="true"/>
        <w:keepLines/>
        <w:widowControl/>
        <w:rPr/>
      </w:pPr>
      <w:bookmarkStart w:id="220" w:name="__RefHeading___Toc8379_528838595"/>
      <w:bookmarkEnd w:id="220"/>
      <w:r>
        <w:rPr/>
        <w:t>13.8 Canonical asset treatment</w:t>
      </w:r>
    </w:p>
    <w:p>
      <w:pPr>
        <w:pStyle w:val="Normal"/>
        <w:rPr/>
      </w:pPr>
      <w:bookmarkStart w:id="221" w:name="canonical-asset-treatment"/>
      <w:r>
        <w:rPr/>
        <w:t>Wrapped and bridged assets require explicit attribution. DLI records origin-chain dependency, bridge mechanism and redemption risk. The same underlying liquidity cannot be counted as independent depth on multiple networks without adjustment.</w:t>
      </w:r>
      <w:bookmarkEnd w:id="221"/>
    </w:p>
    <w:p>
      <w:pPr>
        <w:pStyle w:val="Heading2"/>
        <w:keepNext w:val="true"/>
        <w:keepLines/>
        <w:widowControl/>
        <w:rPr/>
      </w:pPr>
      <w:bookmarkStart w:id="222" w:name="__RefHeading___Toc8381_528838595"/>
      <w:bookmarkEnd w:id="222"/>
      <w:r>
        <w:rPr/>
        <w:t>13.9 Interpretation</w:t>
      </w:r>
    </w:p>
    <w:p>
      <w:pPr>
        <w:pStyle w:val="Normal"/>
        <w:rPr/>
      </w:pPr>
      <w:bookmarkStart w:id="223" w:name="interpretation-3"/>
      <w:bookmarkStart w:id="224" w:name="decentralised-liquidity-index-dli"/>
      <w:r>
        <w:rPr/>
        <w:t>A high DLI indicates that meaningful value can be exchanged with limited price impact across diversified venues and that liquidity has demonstrated resilience. It does not guarantee future liquidity or remove smart-contract, oracle, stablecoin or bridge risk.</w:t>
      </w:r>
      <w:bookmarkEnd w:id="223"/>
      <w:bookmarkEnd w:id="224"/>
    </w:p>
    <w:p>
      <w:pPr>
        <w:pStyle w:val="Heading1"/>
        <w:keepNext w:val="true"/>
        <w:keepLines/>
        <w:widowControl/>
        <w:pBdr>
          <w:bottom w:val="single" w:sz="6" w:space="5" w:color="8AB2BF"/>
        </w:pBdr>
        <w:jc w:val="left"/>
        <w:rPr/>
      </w:pPr>
      <w:bookmarkStart w:id="225" w:name="__RefHeading___Toc8383_528838595"/>
      <w:bookmarkEnd w:id="225"/>
      <w:r>
        <w:rPr/>
        <w:t>14. Protocol Integrity Index (PII)</w:t>
      </w:r>
    </w:p>
    <w:p>
      <w:pPr>
        <w:pStyle w:val="Heading2"/>
        <w:keepNext w:val="true"/>
        <w:keepLines/>
        <w:widowControl/>
        <w:rPr/>
      </w:pPr>
      <w:bookmarkStart w:id="226" w:name="__RefHeading___Toc8385_528838595"/>
      <w:bookmarkEnd w:id="226"/>
      <w:r>
        <w:rPr/>
        <w:t>14.1 Purpose</w:t>
      </w:r>
    </w:p>
    <w:p>
      <w:pPr>
        <w:pStyle w:val="Normal"/>
        <w:rPr/>
      </w:pPr>
      <w:bookmarkStart w:id="227" w:name="purpose-5"/>
      <w:r>
        <w:rPr/>
        <w:t>PII measures the current structural integrity of the protocol: security, decentralisation, availability, operational discipline and controlled upgrade capability. It replaces the earlier Public Trust Index, which mixed objective protocol evidence with subjective sentiment.</w:t>
      </w:r>
      <w:bookmarkEnd w:id="227"/>
    </w:p>
    <w:p>
      <w:pPr>
        <w:pStyle w:val="Heading2"/>
        <w:keepNext w:val="true"/>
        <w:keepLines/>
        <w:widowControl/>
        <w:rPr/>
      </w:pPr>
      <w:bookmarkStart w:id="228" w:name="__RefHeading___Toc8387_528838595"/>
      <w:bookmarkEnd w:id="228"/>
      <w:r>
        <w:rPr/>
        <w:t>14.2 PII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track record</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Resistance to exploits and effective remediation</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of effective system control</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Infrastructure diversity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Independence across clients, hosting and critical services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Availability and finality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Reliable production and settlement</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upgrade integrity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Transparent, constrained and recoverable protocol change</w:t>
            </w:r>
          </w:p>
        </w:tc>
      </w:tr>
    </w:tbl>
    <w:p>
      <w:pPr>
        <w:pStyle w:val="BodyText"/>
        <w:keepLines/>
        <w:spacing w:before="80" w:after="160"/>
        <w:jc w:val="center"/>
        <w:rPr/>
      </w:pPr>
      <w:r>
        <w:rPr/>
        <w:drawing>
          <wp:inline distT="0" distB="0" distL="0" distR="0">
            <wp:extent cx="5420995" cy="287020"/>
            <wp:effectExtent l="0" t="0" r="0" b="0"/>
            <wp:docPr id="24" name="Picture 24" descr="Equation&#10;PII=0.25ST+0.20CD+0.15ID+0.20AF+0.20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quation&#10;PII=0.25ST+0.20CD+0.15ID+0.20AF+0.20GI"/>
                    <pic:cNvPicPr>
                      <a:picLocks noChangeAspect="1" noChangeArrowheads="1"/>
                    </pic:cNvPicPr>
                  </pic:nvPicPr>
                  <pic:blipFill>
                    <a:blip r:embed="rId25"/>
                    <a:stretch>
                      <a:fillRect/>
                    </a:stretch>
                  </pic:blipFill>
                  <pic:spPr bwMode="auto">
                    <a:xfrm>
                      <a:off x="0" y="0"/>
                      <a:ext cx="5420995" cy="287020"/>
                    </a:xfrm>
                    <a:prstGeom prst="rect">
                      <a:avLst/>
                    </a:prstGeom>
                    <a:noFill/>
                  </pic:spPr>
                </pic:pic>
              </a:graphicData>
            </a:graphic>
          </wp:inline>
        </w:drawing>
      </w:r>
    </w:p>
    <w:p>
      <w:pPr>
        <w:pStyle w:val="Heading2"/>
        <w:keepNext w:val="true"/>
        <w:keepLines/>
        <w:widowControl/>
        <w:rPr/>
      </w:pPr>
      <w:bookmarkStart w:id="229" w:name="__RefHeading___Toc8389_528838595"/>
      <w:bookmarkEnd w:id="229"/>
      <w:r>
        <w:rPr/>
        <w:t>14.3 Security track record</w:t>
      </w:r>
    </w:p>
    <w:p>
      <w:pPr>
        <w:pStyle w:val="Normal"/>
        <w:rPr/>
      </w:pPr>
      <w:r>
        <w:rPr/>
        <w:t>Security evidence includes:</w:t>
      </w:r>
    </w:p>
    <w:p>
      <w:pPr>
        <w:pStyle w:val="Compact"/>
        <w:widowControl/>
        <w:numPr>
          <w:ilvl w:val="0"/>
          <w:numId w:val="1011"/>
        </w:numPr>
        <w:rPr/>
      </w:pPr>
      <w:r>
        <w:rPr/>
        <w:t>consensus and protocol exploits;</w:t>
      </w:r>
    </w:p>
    <w:p>
      <w:pPr>
        <w:pStyle w:val="Compact"/>
        <w:widowControl/>
        <w:numPr>
          <w:ilvl w:val="0"/>
          <w:numId w:val="1012"/>
        </w:numPr>
        <w:rPr/>
      </w:pPr>
      <w:r>
        <w:rPr/>
        <w:t>bridge or canonical-contract failures attributable to the network;</w:t>
      </w:r>
    </w:p>
    <w:p>
      <w:pPr>
        <w:pStyle w:val="Compact"/>
        <w:widowControl/>
        <w:numPr>
          <w:ilvl w:val="0"/>
          <w:numId w:val="1013"/>
        </w:numPr>
        <w:rPr/>
      </w:pPr>
      <w:r>
        <w:rPr/>
        <w:t>loss severity relative to economic size;</w:t>
      </w:r>
    </w:p>
    <w:p>
      <w:pPr>
        <w:pStyle w:val="Compact"/>
        <w:widowControl/>
        <w:numPr>
          <w:ilvl w:val="0"/>
          <w:numId w:val="1014"/>
        </w:numPr>
        <w:rPr/>
      </w:pPr>
      <w:r>
        <w:rPr/>
        <w:t>audit coverage and independence;</w:t>
      </w:r>
    </w:p>
    <w:p>
      <w:pPr>
        <w:pStyle w:val="Compact"/>
        <w:widowControl/>
        <w:numPr>
          <w:ilvl w:val="0"/>
          <w:numId w:val="1015"/>
        </w:numPr>
        <w:rPr/>
      </w:pPr>
      <w:r>
        <w:rPr/>
        <w:t>bug-bounty scope and response;</w:t>
      </w:r>
    </w:p>
    <w:p>
      <w:pPr>
        <w:pStyle w:val="Compact"/>
        <w:widowControl/>
        <w:numPr>
          <w:ilvl w:val="0"/>
          <w:numId w:val="1016"/>
        </w:numPr>
        <w:rPr/>
      </w:pPr>
      <w:r>
        <w:rPr/>
        <w:t>time to detection, containment and remediation;</w:t>
      </w:r>
    </w:p>
    <w:p>
      <w:pPr>
        <w:pStyle w:val="Compact"/>
        <w:widowControl/>
        <w:numPr>
          <w:ilvl w:val="0"/>
          <w:numId w:val="1017"/>
        </w:numPr>
        <w:rPr/>
      </w:pPr>
      <w:r>
        <w:rPr/>
        <w:t>recurrence of known vulnerability classes;</w:t>
      </w:r>
    </w:p>
    <w:p>
      <w:pPr>
        <w:pStyle w:val="Compact"/>
        <w:widowControl/>
        <w:numPr>
          <w:ilvl w:val="0"/>
          <w:numId w:val="1018"/>
        </w:numPr>
        <w:rPr/>
      </w:pPr>
      <w:r>
        <w:rPr/>
        <w:t>post-incident disclosure quality.</w:t>
      </w:r>
    </w:p>
    <w:p>
      <w:pPr>
        <w:pStyle w:val="Normal"/>
        <w:rPr/>
      </w:pPr>
      <w:bookmarkStart w:id="230" w:name="security-track-record"/>
      <w:r>
        <w:rPr/>
        <w:t>An absence of reported incidents does not automatically indicate strong security. Confidence depends on code maturity, audit evidence, open-source visibility and attack surface.</w:t>
      </w:r>
      <w:bookmarkEnd w:id="230"/>
    </w:p>
    <w:p>
      <w:pPr>
        <w:pStyle w:val="Heading2"/>
        <w:keepNext w:val="true"/>
        <w:keepLines/>
        <w:widowControl/>
        <w:rPr/>
      </w:pPr>
      <w:bookmarkStart w:id="231" w:name="__RefHeading___Toc8391_528838595"/>
      <w:bookmarkEnd w:id="231"/>
      <w:r>
        <w:rPr/>
        <w:t>14.4 Consensus and control decentralisation</w:t>
      </w:r>
    </w:p>
    <w:p>
      <w:pPr>
        <w:pStyle w:val="Normal"/>
        <w:rPr/>
      </w:pPr>
      <w:r>
        <w:rPr/>
        <w:t>PII measures effective control, not marketing labels. Depending on architecture, evidence may include:</w:t>
      </w:r>
    </w:p>
    <w:p>
      <w:pPr>
        <w:pStyle w:val="Compact"/>
        <w:widowControl/>
        <w:numPr>
          <w:ilvl w:val="0"/>
          <w:numId w:val="1019"/>
        </w:numPr>
        <w:rPr/>
      </w:pPr>
      <w:r>
        <w:rPr/>
        <w:t>Nakamoto-style coefficients across block production, stake, mining work or governance;</w:t>
      </w:r>
    </w:p>
    <w:p>
      <w:pPr>
        <w:pStyle w:val="Compact"/>
        <w:widowControl/>
        <w:numPr>
          <w:ilvl w:val="0"/>
          <w:numId w:val="1020"/>
        </w:numPr>
        <w:rPr/>
      </w:pPr>
      <w:r>
        <w:rPr/>
        <w:t>top-entity control share;</w:t>
      </w:r>
    </w:p>
    <w:p>
      <w:pPr>
        <w:pStyle w:val="Compact"/>
        <w:widowControl/>
        <w:numPr>
          <w:ilvl w:val="0"/>
          <w:numId w:val="1021"/>
        </w:numPr>
        <w:rPr/>
      </w:pPr>
      <w:r>
        <w:rPr/>
        <w:t>delegation concentration;</w:t>
      </w:r>
    </w:p>
    <w:p>
      <w:pPr>
        <w:pStyle w:val="Compact"/>
        <w:widowControl/>
        <w:numPr>
          <w:ilvl w:val="0"/>
          <w:numId w:val="1022"/>
        </w:numPr>
        <w:rPr/>
      </w:pPr>
      <w:r>
        <w:rPr/>
        <w:t>sequencer, prover or committee control;</w:t>
      </w:r>
    </w:p>
    <w:p>
      <w:pPr>
        <w:pStyle w:val="Compact"/>
        <w:widowControl/>
        <w:numPr>
          <w:ilvl w:val="0"/>
          <w:numId w:val="1023"/>
        </w:numPr>
        <w:rPr/>
      </w:pPr>
      <w:r>
        <w:rPr/>
        <w:t>emergency-key and multisignature power;</w:t>
      </w:r>
    </w:p>
    <w:p>
      <w:pPr>
        <w:pStyle w:val="Compact"/>
        <w:widowControl/>
        <w:numPr>
          <w:ilvl w:val="0"/>
          <w:numId w:val="1024"/>
        </w:numPr>
        <w:rPr/>
      </w:pPr>
      <w:r>
        <w:rPr/>
        <w:t>censorship and forced-exit mechanisms;</w:t>
      </w:r>
    </w:p>
    <w:p>
      <w:pPr>
        <w:pStyle w:val="Compact"/>
        <w:widowControl/>
        <w:numPr>
          <w:ilvl w:val="0"/>
          <w:numId w:val="1025"/>
        </w:numPr>
        <w:rPr/>
      </w:pPr>
      <w:r>
        <w:rPr/>
        <w:t>ownership relationships among nominally separate operators.</w:t>
      </w:r>
    </w:p>
    <w:p>
      <w:pPr>
        <w:pStyle w:val="Normal"/>
        <w:rPr/>
      </w:pPr>
      <w:bookmarkStart w:id="232" w:name="consensus-and-control-decentralisation"/>
      <w:r>
        <w:rPr/>
        <w:t>Decentralisation is multidimensional, as academic studies of consensus and governance concentration have shown [9–10]. Voxonomics therefore publishes component measures rather than one unverifiable claim.</w:t>
      </w:r>
      <w:bookmarkEnd w:id="232"/>
    </w:p>
    <w:p>
      <w:pPr>
        <w:pStyle w:val="Heading2"/>
        <w:keepNext w:val="true"/>
        <w:keepLines/>
        <w:widowControl/>
        <w:rPr/>
      </w:pPr>
      <w:bookmarkStart w:id="233" w:name="__RefHeading___Toc8393_528838595"/>
      <w:bookmarkEnd w:id="233"/>
      <w:r>
        <w:rPr/>
        <w:t>14.5 Infrastructure diversity</w:t>
      </w:r>
    </w:p>
    <w:p>
      <w:pPr>
        <w:pStyle w:val="Normal"/>
        <w:rPr/>
      </w:pPr>
      <w:r>
        <w:rPr/>
        <w:t>Infrastructure diversity examines correlated failure risk across:</w:t>
      </w:r>
    </w:p>
    <w:p>
      <w:pPr>
        <w:pStyle w:val="Compact"/>
        <w:widowControl/>
        <w:numPr>
          <w:ilvl w:val="0"/>
          <w:numId w:val="1026"/>
        </w:numPr>
        <w:rPr/>
      </w:pPr>
      <w:r>
        <w:rPr/>
        <w:t>client implementations;</w:t>
      </w:r>
    </w:p>
    <w:p>
      <w:pPr>
        <w:pStyle w:val="Compact"/>
        <w:widowControl/>
        <w:numPr>
          <w:ilvl w:val="0"/>
          <w:numId w:val="1027"/>
        </w:numPr>
        <w:rPr/>
      </w:pPr>
      <w:r>
        <w:rPr/>
        <w:t>operating systems and software stacks;</w:t>
      </w:r>
    </w:p>
    <w:p>
      <w:pPr>
        <w:pStyle w:val="Compact"/>
        <w:widowControl/>
        <w:numPr>
          <w:ilvl w:val="0"/>
          <w:numId w:val="1028"/>
        </w:numPr>
        <w:rPr/>
      </w:pPr>
      <w:r>
        <w:rPr/>
        <w:t>cloud and hosting providers;</w:t>
      </w:r>
    </w:p>
    <w:p>
      <w:pPr>
        <w:pStyle w:val="Compact"/>
        <w:widowControl/>
        <w:numPr>
          <w:ilvl w:val="0"/>
          <w:numId w:val="1029"/>
        </w:numPr>
        <w:rPr/>
      </w:pPr>
      <w:r>
        <w:rPr/>
        <w:t>geographic and jurisdictional distribution;</w:t>
      </w:r>
    </w:p>
    <w:p>
      <w:pPr>
        <w:pStyle w:val="Compact"/>
        <w:widowControl/>
        <w:numPr>
          <w:ilvl w:val="0"/>
          <w:numId w:val="1030"/>
        </w:numPr>
        <w:rPr/>
      </w:pPr>
      <w:r>
        <w:rPr/>
        <w:t>RPC and relay dependencies;</w:t>
      </w:r>
    </w:p>
    <w:p>
      <w:pPr>
        <w:pStyle w:val="Compact"/>
        <w:widowControl/>
        <w:numPr>
          <w:ilvl w:val="0"/>
          <w:numId w:val="1031"/>
        </w:numPr>
        <w:rPr/>
      </w:pPr>
      <w:r>
        <w:rPr/>
        <w:t>oracle, data-availability and bridge infrastructure;</w:t>
      </w:r>
    </w:p>
    <w:p>
      <w:pPr>
        <w:pStyle w:val="Compact"/>
        <w:widowControl/>
        <w:numPr>
          <w:ilvl w:val="0"/>
          <w:numId w:val="1032"/>
        </w:numPr>
        <w:rPr/>
      </w:pPr>
      <w:r>
        <w:rPr/>
        <w:t>key maintainers and repositories.</w:t>
      </w:r>
    </w:p>
    <w:p>
      <w:pPr>
        <w:pStyle w:val="Normal"/>
        <w:rPr/>
      </w:pPr>
      <w:bookmarkStart w:id="234" w:name="infrastructure-diversity"/>
      <w:r>
        <w:rPr/>
        <w:t>Where exact infrastructure data is unavailable, the adapter reports the evidence class and lowers confidence rather than inventing precision.</w:t>
      </w:r>
      <w:bookmarkEnd w:id="234"/>
    </w:p>
    <w:p>
      <w:pPr>
        <w:pStyle w:val="Heading2"/>
        <w:keepNext w:val="true"/>
        <w:keepLines/>
        <w:widowControl/>
        <w:rPr/>
      </w:pPr>
      <w:bookmarkStart w:id="235" w:name="__RefHeading___Toc8395_528838595"/>
      <w:bookmarkEnd w:id="235"/>
      <w:r>
        <w:rPr/>
        <w:t>14.6 Availability and finality</w:t>
      </w:r>
    </w:p>
    <w:p>
      <w:pPr>
        <w:pStyle w:val="Normal"/>
        <w:rPr/>
      </w:pPr>
      <w:r>
        <w:rPr/>
        <w:t>Availability measures whether the network produces valid state consistently. Evidence may include:</w:t>
      </w:r>
    </w:p>
    <w:p>
      <w:pPr>
        <w:pStyle w:val="Compact"/>
        <w:widowControl/>
        <w:numPr>
          <w:ilvl w:val="0"/>
          <w:numId w:val="1033"/>
        </w:numPr>
        <w:rPr/>
      </w:pPr>
      <w:r>
        <w:rPr/>
        <w:t>uptime and halted time;</w:t>
      </w:r>
    </w:p>
    <w:p>
      <w:pPr>
        <w:pStyle w:val="Compact"/>
        <w:widowControl/>
        <w:numPr>
          <w:ilvl w:val="0"/>
          <w:numId w:val="1034"/>
        </w:numPr>
        <w:rPr/>
      </w:pPr>
      <w:r>
        <w:rPr/>
        <w:t>missed blocks or slots;</w:t>
      </w:r>
    </w:p>
    <w:p>
      <w:pPr>
        <w:pStyle w:val="Compact"/>
        <w:widowControl/>
        <w:numPr>
          <w:ilvl w:val="0"/>
          <w:numId w:val="1035"/>
        </w:numPr>
        <w:rPr/>
      </w:pPr>
      <w:r>
        <w:rPr/>
        <w:t>finality delay and reorganisation depth;</w:t>
      </w:r>
    </w:p>
    <w:p>
      <w:pPr>
        <w:pStyle w:val="Compact"/>
        <w:widowControl/>
        <w:numPr>
          <w:ilvl w:val="0"/>
          <w:numId w:val="1036"/>
        </w:numPr>
        <w:rPr/>
      </w:pPr>
      <w:r>
        <w:rPr/>
        <w:t>degraded-mode operation;</w:t>
      </w:r>
    </w:p>
    <w:p>
      <w:pPr>
        <w:pStyle w:val="Compact"/>
        <w:widowControl/>
        <w:numPr>
          <w:ilvl w:val="0"/>
          <w:numId w:val="1037"/>
        </w:numPr>
        <w:rPr/>
      </w:pPr>
      <w:r>
        <w:rPr/>
        <w:t>censorship or liveness incidents;</w:t>
      </w:r>
    </w:p>
    <w:p>
      <w:pPr>
        <w:pStyle w:val="Compact"/>
        <w:widowControl/>
        <w:numPr>
          <w:ilvl w:val="0"/>
          <w:numId w:val="1038"/>
        </w:numPr>
        <w:rPr/>
      </w:pPr>
      <w:r>
        <w:rPr/>
        <w:t>recovery time;</w:t>
      </w:r>
    </w:p>
    <w:p>
      <w:pPr>
        <w:pStyle w:val="Compact"/>
        <w:widowControl/>
        <w:numPr>
          <w:ilvl w:val="0"/>
          <w:numId w:val="1039"/>
        </w:numPr>
        <w:rPr/>
      </w:pPr>
      <w:r>
        <w:rPr/>
        <w:t>user ability to exit during disruption.</w:t>
      </w:r>
    </w:p>
    <w:p>
      <w:pPr>
        <w:pStyle w:val="Normal"/>
        <w:rPr/>
      </w:pPr>
      <w:bookmarkStart w:id="236" w:name="availability-and-finality"/>
      <w:r>
        <w:rPr/>
        <w:t>A high-throughput chain with frequent halts cannot offset availability weakness through transaction count because throughput belongs to PoV and integrity belongs to PII.</w:t>
      </w:r>
      <w:bookmarkEnd w:id="236"/>
    </w:p>
    <w:p>
      <w:pPr>
        <w:pStyle w:val="Heading2"/>
        <w:keepNext w:val="true"/>
        <w:keepLines/>
        <w:widowControl/>
        <w:rPr/>
      </w:pPr>
      <w:bookmarkStart w:id="237" w:name="__RefHeading___Toc8397_528838595"/>
      <w:bookmarkEnd w:id="237"/>
      <w:r>
        <w:rPr/>
        <w:t>14.7 Governance and upgrade integrity</w:t>
      </w:r>
    </w:p>
    <w:p>
      <w:pPr>
        <w:pStyle w:val="Normal"/>
        <w:rPr/>
      </w:pPr>
      <w:r>
        <w:rPr/>
        <w:t>Protocol change is necessary, but unconstrained upgrade power creates risk. The component assesses:</w:t>
      </w:r>
    </w:p>
    <w:p>
      <w:pPr>
        <w:pStyle w:val="Compact"/>
        <w:widowControl/>
        <w:numPr>
          <w:ilvl w:val="0"/>
          <w:numId w:val="1040"/>
        </w:numPr>
        <w:rPr/>
      </w:pPr>
      <w:r>
        <w:rPr/>
        <w:t>transparency of specifications and releases;</w:t>
      </w:r>
    </w:p>
    <w:p>
      <w:pPr>
        <w:pStyle w:val="Compact"/>
        <w:widowControl/>
        <w:numPr>
          <w:ilvl w:val="0"/>
          <w:numId w:val="1041"/>
        </w:numPr>
        <w:rPr/>
      </w:pPr>
      <w:r>
        <w:rPr/>
        <w:t>review and testing processes;</w:t>
      </w:r>
    </w:p>
    <w:p>
      <w:pPr>
        <w:pStyle w:val="Compact"/>
        <w:widowControl/>
        <w:numPr>
          <w:ilvl w:val="0"/>
          <w:numId w:val="1042"/>
        </w:numPr>
        <w:rPr/>
      </w:pPr>
      <w:r>
        <w:rPr/>
        <w:t>notice periods and timelocks;</w:t>
      </w:r>
    </w:p>
    <w:p>
      <w:pPr>
        <w:pStyle w:val="Compact"/>
        <w:widowControl/>
        <w:numPr>
          <w:ilvl w:val="0"/>
          <w:numId w:val="1043"/>
        </w:numPr>
        <w:rPr/>
      </w:pPr>
      <w:r>
        <w:rPr/>
        <w:t>emergency powers and key management;</w:t>
      </w:r>
    </w:p>
    <w:p>
      <w:pPr>
        <w:pStyle w:val="Compact"/>
        <w:widowControl/>
        <w:numPr>
          <w:ilvl w:val="0"/>
          <w:numId w:val="1044"/>
        </w:numPr>
        <w:rPr/>
      </w:pPr>
      <w:r>
        <w:rPr/>
        <w:t>rollback and recovery procedures;</w:t>
      </w:r>
    </w:p>
    <w:p>
      <w:pPr>
        <w:pStyle w:val="Compact"/>
        <w:widowControl/>
        <w:numPr>
          <w:ilvl w:val="0"/>
          <w:numId w:val="1045"/>
        </w:numPr>
        <w:rPr/>
      </w:pPr>
      <w:r>
        <w:rPr/>
        <w:t>client compatibility and migration planning;</w:t>
      </w:r>
    </w:p>
    <w:p>
      <w:pPr>
        <w:pStyle w:val="Compact"/>
        <w:widowControl/>
        <w:numPr>
          <w:ilvl w:val="0"/>
          <w:numId w:val="1046"/>
        </w:numPr>
        <w:rPr/>
      </w:pPr>
      <w:r>
        <w:rPr/>
        <w:t>separation of proposer, approver and executor roles;</w:t>
      </w:r>
    </w:p>
    <w:p>
      <w:pPr>
        <w:pStyle w:val="Compact"/>
        <w:widowControl/>
        <w:numPr>
          <w:ilvl w:val="0"/>
          <w:numId w:val="1047"/>
        </w:numPr>
        <w:rPr/>
      </w:pPr>
      <w:bookmarkStart w:id="238" w:name="governance-and-upgrade-integrity"/>
      <w:r>
        <w:rPr/>
        <w:t>public disclosure of material changes.</w:t>
      </w:r>
      <w:bookmarkEnd w:id="238"/>
    </w:p>
    <w:p>
      <w:pPr>
        <w:pStyle w:val="Heading2"/>
        <w:keepNext w:val="true"/>
        <w:keepLines/>
        <w:widowControl/>
        <w:rPr/>
      </w:pPr>
      <w:bookmarkStart w:id="239" w:name="__RefHeading___Toc8399_528838595"/>
      <w:bookmarkEnd w:id="239"/>
      <w:r>
        <w:rPr/>
        <w:t>14.8 Interpretation</w:t>
      </w:r>
    </w:p>
    <w:p>
      <w:pPr>
        <w:pStyle w:val="Normal"/>
        <w:rPr/>
      </w:pPr>
      <w:bookmarkStart w:id="240" w:name="interpretation-4"/>
      <w:bookmarkStart w:id="241" w:name="protocol-integrity-index-pii"/>
      <w:r>
        <w:rPr/>
        <w:t>A high PII indicates that the network is currently secure, distributed, available and governed through credible operational controls. ERI then asks whether those strengths persist under stress.</w:t>
      </w:r>
      <w:bookmarkEnd w:id="240"/>
      <w:bookmarkEnd w:id="241"/>
    </w:p>
    <w:p>
      <w:pPr>
        <w:pStyle w:val="Heading1"/>
        <w:keepNext w:val="true"/>
        <w:keepLines/>
        <w:widowControl/>
        <w:pBdr>
          <w:bottom w:val="single" w:sz="6" w:space="5" w:color="8AB2BF"/>
        </w:pBdr>
        <w:jc w:val="left"/>
        <w:rPr/>
      </w:pPr>
      <w:bookmarkStart w:id="242" w:name="__RefHeading___Toc8401_528838595"/>
      <w:bookmarkEnd w:id="242"/>
      <w:r>
        <w:rPr/>
        <w:t>15. Real-World Adoption Index (RWAI)</w:t>
      </w:r>
    </w:p>
    <w:p>
      <w:pPr>
        <w:pStyle w:val="Heading2"/>
        <w:keepNext w:val="true"/>
        <w:keepLines/>
        <w:widowControl/>
        <w:rPr/>
      </w:pPr>
      <w:bookmarkStart w:id="243" w:name="__RefHeading___Toc8403_528838595"/>
      <w:bookmarkEnd w:id="243"/>
      <w:r>
        <w:rPr/>
        <w:t>15.1 Purpose</w:t>
      </w:r>
    </w:p>
    <w:p>
      <w:pPr>
        <w:pStyle w:val="Normal"/>
        <w:rPr/>
      </w:pPr>
      <w:bookmarkStart w:id="244" w:name="purpose-6"/>
      <w:r>
        <w:rPr/>
        <w:t>RWAI measures verifiable connection between a blockchain and economic activity outside purely endogenous crypto speculation. It replaces the narrower Real-World Asset Index. Tokenised assets remain important, but adoption also includes payments, settlement, enterprise use and public infrastructure.</w:t>
      </w:r>
      <w:bookmarkEnd w:id="244"/>
    </w:p>
    <w:p>
      <w:pPr>
        <w:pStyle w:val="Heading2"/>
        <w:keepNext w:val="true"/>
        <w:keepLines/>
        <w:widowControl/>
        <w:rPr/>
      </w:pPr>
      <w:bookmarkStart w:id="245" w:name="__RefHeading___Toc8405_528838595"/>
      <w:bookmarkEnd w:id="245"/>
      <w:r>
        <w:rPr/>
        <w:t>15.2 RWAI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Real-world settlement value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Verified economic settlement connected to external goods, services or claims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Stablecoin and payment use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Payment and treasury activity using stable-value instruments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Tokenised asset value and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Credible on-chain representation of external assets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Adoption diversity and persistence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across sectors, jurisdictions and use cases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External-verification integrity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Quality of legal, custody, oracle and reporting links</w:t>
            </w:r>
          </w:p>
        </w:tc>
      </w:tr>
    </w:tbl>
    <w:p>
      <w:pPr>
        <w:pStyle w:val="BodyText"/>
        <w:keepLines/>
        <w:spacing w:before="80" w:after="160"/>
        <w:jc w:val="center"/>
        <w:rPr/>
      </w:pPr>
      <w:r>
        <w:rPr/>
        <w:drawing>
          <wp:inline distT="0" distB="0" distL="0" distR="0">
            <wp:extent cx="5623560" cy="283845"/>
            <wp:effectExtent l="0" t="0" r="0" b="0"/>
            <wp:docPr id="25" name="Picture 25" descr="Equation&#10;RWAI=0.25RS+0.20SP+0.20TA+0.20AD+0.15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quation&#10;RWAI=0.25RS+0.20SP+0.20TA+0.20AD+0.15EI"/>
                    <pic:cNvPicPr>
                      <a:picLocks noChangeAspect="1" noChangeArrowheads="1"/>
                    </pic:cNvPicPr>
                  </pic:nvPicPr>
                  <pic:blipFill>
                    <a:blip r:embed="rId26"/>
                    <a:stretch>
                      <a:fillRect/>
                    </a:stretch>
                  </pic:blipFill>
                  <pic:spPr bwMode="auto">
                    <a:xfrm>
                      <a:off x="0" y="0"/>
                      <a:ext cx="5623560" cy="283845"/>
                    </a:xfrm>
                    <a:prstGeom prst="rect">
                      <a:avLst/>
                    </a:prstGeom>
                    <a:noFill/>
                  </pic:spPr>
                </pic:pic>
              </a:graphicData>
            </a:graphic>
          </wp:inline>
        </w:drawing>
      </w:r>
    </w:p>
    <w:p>
      <w:pPr>
        <w:pStyle w:val="Heading2"/>
        <w:keepNext w:val="true"/>
        <w:keepLines/>
        <w:widowControl/>
        <w:rPr/>
      </w:pPr>
      <w:bookmarkStart w:id="246" w:name="__RefHeading___Toc8407_528838595"/>
      <w:bookmarkEnd w:id="246"/>
      <w:r>
        <w:rPr/>
        <w:t>15.3 Real-world settlement value</w:t>
      </w:r>
    </w:p>
    <w:p>
      <w:pPr>
        <w:pStyle w:val="Normal"/>
        <w:rPr/>
      </w:pPr>
      <w:r>
        <w:rPr/>
        <w:t>This component measures settlement associated with identifiable external economic purpose, including:</w:t>
      </w:r>
    </w:p>
    <w:p>
      <w:pPr>
        <w:pStyle w:val="Compact"/>
        <w:widowControl/>
        <w:numPr>
          <w:ilvl w:val="0"/>
          <w:numId w:val="1048"/>
        </w:numPr>
        <w:rPr/>
      </w:pPr>
      <w:r>
        <w:rPr/>
        <w:t>merchant and remittance payments;</w:t>
      </w:r>
    </w:p>
    <w:p>
      <w:pPr>
        <w:pStyle w:val="Compact"/>
        <w:widowControl/>
        <w:numPr>
          <w:ilvl w:val="0"/>
          <w:numId w:val="1049"/>
        </w:numPr>
        <w:rPr/>
      </w:pPr>
      <w:r>
        <w:rPr/>
        <w:t>payroll and contractor settlement;</w:t>
      </w:r>
    </w:p>
    <w:p>
      <w:pPr>
        <w:pStyle w:val="Compact"/>
        <w:widowControl/>
        <w:numPr>
          <w:ilvl w:val="0"/>
          <w:numId w:val="1050"/>
        </w:numPr>
        <w:rPr/>
      </w:pPr>
      <w:r>
        <w:rPr/>
        <w:t>business-to-business payments;</w:t>
      </w:r>
    </w:p>
    <w:p>
      <w:pPr>
        <w:pStyle w:val="Compact"/>
        <w:widowControl/>
        <w:numPr>
          <w:ilvl w:val="0"/>
          <w:numId w:val="1051"/>
        </w:numPr>
        <w:rPr/>
      </w:pPr>
      <w:r>
        <w:rPr/>
        <w:t>trade finance and invoice settlement;</w:t>
      </w:r>
    </w:p>
    <w:p>
      <w:pPr>
        <w:pStyle w:val="Compact"/>
        <w:widowControl/>
        <w:numPr>
          <w:ilvl w:val="0"/>
          <w:numId w:val="1052"/>
        </w:numPr>
        <w:rPr/>
      </w:pPr>
      <w:r>
        <w:rPr/>
        <w:t>public-sector or regulated financial settlement;</w:t>
      </w:r>
    </w:p>
    <w:p>
      <w:pPr>
        <w:pStyle w:val="Compact"/>
        <w:widowControl/>
        <w:numPr>
          <w:ilvl w:val="0"/>
          <w:numId w:val="1053"/>
        </w:numPr>
        <w:rPr/>
      </w:pPr>
      <w:r>
        <w:rPr/>
        <w:t>delivery-versus-payment and asset servicing;</w:t>
      </w:r>
    </w:p>
    <w:p>
      <w:pPr>
        <w:pStyle w:val="Compact"/>
        <w:widowControl/>
        <w:numPr>
          <w:ilvl w:val="0"/>
          <w:numId w:val="1054"/>
        </w:numPr>
        <w:rPr/>
      </w:pPr>
      <w:r>
        <w:rPr/>
        <w:t>machine or infrastructure payments connected to external services.</w:t>
      </w:r>
    </w:p>
    <w:p>
      <w:pPr>
        <w:pStyle w:val="Normal"/>
        <w:rPr/>
      </w:pPr>
      <w:bookmarkStart w:id="247" w:name="real-world-settlement-value"/>
      <w:r>
        <w:rPr/>
        <w:t>Claims require verifiable evidence. Marketing partnerships without measurable on-chain use do not increase the score.</w:t>
      </w:r>
      <w:bookmarkEnd w:id="247"/>
    </w:p>
    <w:p>
      <w:pPr>
        <w:pStyle w:val="Heading2"/>
        <w:keepNext w:val="true"/>
        <w:keepLines/>
        <w:widowControl/>
        <w:rPr/>
      </w:pPr>
      <w:bookmarkStart w:id="248" w:name="__RefHeading___Toc8409_528838595"/>
      <w:bookmarkEnd w:id="248"/>
      <w:r>
        <w:rPr/>
        <w:t>15.4 Stablecoin and payment use</w:t>
      </w:r>
    </w:p>
    <w:p>
      <w:pPr>
        <w:pStyle w:val="Normal"/>
        <w:rPr/>
      </w:pPr>
      <w:r>
        <w:rPr/>
        <w:t>Stablecoins can connect blockchain settlement to fiat-denominated obligations. The component considers:</w:t>
      </w:r>
    </w:p>
    <w:p>
      <w:pPr>
        <w:pStyle w:val="Compact"/>
        <w:widowControl/>
        <w:numPr>
          <w:ilvl w:val="0"/>
          <w:numId w:val="1055"/>
        </w:numPr>
        <w:rPr/>
      </w:pPr>
      <w:r>
        <w:rPr/>
        <w:t>adjusted transfer value and active payment entities;</w:t>
      </w:r>
    </w:p>
    <w:p>
      <w:pPr>
        <w:pStyle w:val="Compact"/>
        <w:widowControl/>
        <w:numPr>
          <w:ilvl w:val="0"/>
          <w:numId w:val="1056"/>
        </w:numPr>
        <w:rPr/>
      </w:pPr>
      <w:r>
        <w:rPr/>
        <w:t>payment-size distribution;</w:t>
      </w:r>
    </w:p>
    <w:p>
      <w:pPr>
        <w:pStyle w:val="Compact"/>
        <w:widowControl/>
        <w:numPr>
          <w:ilvl w:val="0"/>
          <w:numId w:val="1057"/>
        </w:numPr>
        <w:rPr/>
      </w:pPr>
      <w:r>
        <w:rPr/>
        <w:t>retention and velocity;</w:t>
      </w:r>
    </w:p>
    <w:p>
      <w:pPr>
        <w:pStyle w:val="Compact"/>
        <w:widowControl/>
        <w:numPr>
          <w:ilvl w:val="0"/>
          <w:numId w:val="1058"/>
        </w:numPr>
        <w:rPr/>
      </w:pPr>
      <w:r>
        <w:rPr/>
        <w:t>merchant, remittance or treasury usage evidence;</w:t>
      </w:r>
    </w:p>
    <w:p>
      <w:pPr>
        <w:pStyle w:val="Compact"/>
        <w:widowControl/>
        <w:numPr>
          <w:ilvl w:val="0"/>
          <w:numId w:val="1059"/>
        </w:numPr>
        <w:rPr/>
      </w:pPr>
      <w:r>
        <w:rPr/>
        <w:t>issuer and reserve concentration;</w:t>
      </w:r>
    </w:p>
    <w:p>
      <w:pPr>
        <w:pStyle w:val="Compact"/>
        <w:widowControl/>
        <w:numPr>
          <w:ilvl w:val="0"/>
          <w:numId w:val="1060"/>
        </w:numPr>
        <w:rPr/>
      </w:pPr>
      <w:r>
        <w:rPr/>
        <w:t>de-peg history and redemption access;</w:t>
      </w:r>
    </w:p>
    <w:p>
      <w:pPr>
        <w:pStyle w:val="Compact"/>
        <w:widowControl/>
        <w:numPr>
          <w:ilvl w:val="0"/>
          <w:numId w:val="1061"/>
        </w:numPr>
        <w:rPr/>
      </w:pPr>
      <w:r>
        <w:rPr/>
        <w:t>bridge and custody dependencies.</w:t>
      </w:r>
    </w:p>
    <w:p>
      <w:pPr>
        <w:pStyle w:val="Normal"/>
        <w:rPr/>
      </w:pPr>
      <w:bookmarkStart w:id="249" w:name="stablecoin-and-payment-use"/>
      <w:r>
        <w:rPr/>
        <w:t>Pure exchange rotation is separated from payment-like activity where classification is feasible.</w:t>
      </w:r>
      <w:bookmarkEnd w:id="249"/>
    </w:p>
    <w:p>
      <w:pPr>
        <w:pStyle w:val="Heading2"/>
        <w:keepNext w:val="true"/>
        <w:keepLines/>
        <w:widowControl/>
        <w:rPr/>
      </w:pPr>
      <w:bookmarkStart w:id="250" w:name="__RefHeading___Toc8411_528838595"/>
      <w:bookmarkEnd w:id="250"/>
      <w:r>
        <w:rPr/>
        <w:t>15.5 Tokenised asset value and quality</w:t>
      </w:r>
    </w:p>
    <w:p>
      <w:pPr>
        <w:pStyle w:val="Normal"/>
        <w:rPr/>
      </w:pPr>
      <w:r>
        <w:rPr/>
        <w:t>Tokenised real-world assets include government securities, funds, credit, commodities, property interests, invoices and other enforceable claims. Measurement considers both quantity and quality:</w:t>
      </w:r>
    </w:p>
    <w:p>
      <w:pPr>
        <w:pStyle w:val="Compact"/>
        <w:widowControl/>
        <w:numPr>
          <w:ilvl w:val="0"/>
          <w:numId w:val="1062"/>
        </w:numPr>
        <w:rPr/>
      </w:pPr>
      <w:r>
        <w:rPr/>
        <w:t>outstanding verified value;</w:t>
      </w:r>
    </w:p>
    <w:p>
      <w:pPr>
        <w:pStyle w:val="Compact"/>
        <w:widowControl/>
        <w:numPr>
          <w:ilvl w:val="0"/>
          <w:numId w:val="1063"/>
        </w:numPr>
        <w:rPr/>
      </w:pPr>
      <w:r>
        <w:rPr/>
        <w:t>net issuance and redemption;</w:t>
      </w:r>
    </w:p>
    <w:p>
      <w:pPr>
        <w:pStyle w:val="Compact"/>
        <w:widowControl/>
        <w:numPr>
          <w:ilvl w:val="0"/>
          <w:numId w:val="1064"/>
        </w:numPr>
        <w:rPr/>
      </w:pPr>
      <w:r>
        <w:rPr/>
        <w:t>holder and issuer diversity;</w:t>
      </w:r>
    </w:p>
    <w:p>
      <w:pPr>
        <w:pStyle w:val="Compact"/>
        <w:widowControl/>
        <w:numPr>
          <w:ilvl w:val="0"/>
          <w:numId w:val="1065"/>
        </w:numPr>
        <w:rPr/>
      </w:pPr>
      <w:r>
        <w:rPr/>
        <w:t>asset-class diversity;</w:t>
      </w:r>
    </w:p>
    <w:p>
      <w:pPr>
        <w:pStyle w:val="Compact"/>
        <w:widowControl/>
        <w:numPr>
          <w:ilvl w:val="0"/>
          <w:numId w:val="1066"/>
        </w:numPr>
        <w:rPr/>
      </w:pPr>
      <w:r>
        <w:rPr/>
        <w:t>secondary liquidity where relevant;</w:t>
      </w:r>
    </w:p>
    <w:p>
      <w:pPr>
        <w:pStyle w:val="Compact"/>
        <w:widowControl/>
        <w:numPr>
          <w:ilvl w:val="0"/>
          <w:numId w:val="1067"/>
        </w:numPr>
        <w:rPr/>
      </w:pPr>
      <w:r>
        <w:rPr/>
        <w:t>legal enforceability and investor rights;</w:t>
      </w:r>
    </w:p>
    <w:p>
      <w:pPr>
        <w:pStyle w:val="Compact"/>
        <w:widowControl/>
        <w:numPr>
          <w:ilvl w:val="0"/>
          <w:numId w:val="1068"/>
        </w:numPr>
        <w:rPr/>
      </w:pPr>
      <w:r>
        <w:rPr/>
        <w:t>reserve, custody and reporting quality;</w:t>
      </w:r>
    </w:p>
    <w:p>
      <w:pPr>
        <w:pStyle w:val="Compact"/>
        <w:widowControl/>
        <w:numPr>
          <w:ilvl w:val="0"/>
          <w:numId w:val="1069"/>
        </w:numPr>
        <w:rPr/>
      </w:pPr>
      <w:r>
        <w:rPr/>
        <w:t>oracle and administrator independence.</w:t>
      </w:r>
    </w:p>
    <w:p>
      <w:pPr>
        <w:pStyle w:val="Normal"/>
        <w:rPr/>
      </w:pPr>
      <w:bookmarkStart w:id="251" w:name="tokenised-asset-value-and-quality"/>
      <w:r>
        <w:rPr/>
        <w:t>A large opaque tokenised claim does not receive the same score as a smaller, independently verified and redeemable instrument.</w:t>
      </w:r>
      <w:bookmarkEnd w:id="251"/>
    </w:p>
    <w:p>
      <w:pPr>
        <w:pStyle w:val="Heading2"/>
        <w:keepNext w:val="true"/>
        <w:keepLines/>
        <w:widowControl/>
        <w:rPr/>
      </w:pPr>
      <w:bookmarkStart w:id="252" w:name="__RefHeading___Toc8413_528838595"/>
      <w:bookmarkEnd w:id="252"/>
      <w:r>
        <w:rPr/>
        <w:t>15.6 Adoption diversity and persistence</w:t>
      </w:r>
    </w:p>
    <w:p>
      <w:pPr>
        <w:pStyle w:val="Normal"/>
        <w:rPr/>
      </w:pPr>
      <w:r>
        <w:rPr/>
        <w:t>Adoption is stronger when it spans multiple independent organisations, sectors and jurisdictions and persists beyond pilots. Evidence includes:</w:t>
      </w:r>
    </w:p>
    <w:p>
      <w:pPr>
        <w:pStyle w:val="Compact"/>
        <w:widowControl/>
        <w:numPr>
          <w:ilvl w:val="0"/>
          <w:numId w:val="1070"/>
        </w:numPr>
        <w:rPr/>
      </w:pPr>
      <w:r>
        <w:rPr/>
        <w:t>independent issuers and service providers;</w:t>
      </w:r>
    </w:p>
    <w:p>
      <w:pPr>
        <w:pStyle w:val="Compact"/>
        <w:widowControl/>
        <w:numPr>
          <w:ilvl w:val="0"/>
          <w:numId w:val="1071"/>
        </w:numPr>
        <w:rPr/>
      </w:pPr>
      <w:r>
        <w:rPr/>
        <w:t>recurring transaction activity;</w:t>
      </w:r>
    </w:p>
    <w:p>
      <w:pPr>
        <w:pStyle w:val="Compact"/>
        <w:widowControl/>
        <w:numPr>
          <w:ilvl w:val="0"/>
          <w:numId w:val="1072"/>
        </w:numPr>
        <w:rPr/>
      </w:pPr>
      <w:r>
        <w:rPr/>
        <w:t>production deployment rather than announced trials;</w:t>
      </w:r>
    </w:p>
    <w:p>
      <w:pPr>
        <w:pStyle w:val="Compact"/>
        <w:widowControl/>
        <w:numPr>
          <w:ilvl w:val="0"/>
          <w:numId w:val="1073"/>
        </w:numPr>
        <w:rPr/>
      </w:pPr>
      <w:r>
        <w:rPr/>
        <w:t>distribution across payments, capital markets, identity, infrastructure and other categories;</w:t>
      </w:r>
    </w:p>
    <w:p>
      <w:pPr>
        <w:pStyle w:val="Compact"/>
        <w:widowControl/>
        <w:numPr>
          <w:ilvl w:val="0"/>
          <w:numId w:val="1074"/>
        </w:numPr>
        <w:rPr/>
      </w:pPr>
      <w:r>
        <w:rPr/>
        <w:t>concentration of usage among top programmes;</w:t>
      </w:r>
    </w:p>
    <w:p>
      <w:pPr>
        <w:pStyle w:val="Compact"/>
        <w:widowControl/>
        <w:numPr>
          <w:ilvl w:val="0"/>
          <w:numId w:val="1075"/>
        </w:numPr>
        <w:rPr/>
      </w:pPr>
      <w:bookmarkStart w:id="253" w:name="adoption-diversity-and-persistence"/>
      <w:r>
        <w:rPr/>
        <w:t>multi-year continuity.</w:t>
      </w:r>
      <w:bookmarkEnd w:id="253"/>
    </w:p>
    <w:p>
      <w:pPr>
        <w:pStyle w:val="Heading2"/>
        <w:keepNext w:val="true"/>
        <w:keepLines/>
        <w:widowControl/>
        <w:rPr/>
      </w:pPr>
      <w:bookmarkStart w:id="254" w:name="__RefHeading___Toc8415_528838595"/>
      <w:bookmarkEnd w:id="254"/>
      <w:r>
        <w:rPr/>
        <w:t>15.7 External-verification integrity</w:t>
      </w:r>
    </w:p>
    <w:p>
      <w:pPr>
        <w:pStyle w:val="Normal"/>
        <w:rPr/>
      </w:pPr>
      <w:r>
        <w:rPr/>
        <w:t>Real-world claims introduce off-chain dependencies. This component measures:</w:t>
      </w:r>
    </w:p>
    <w:p>
      <w:pPr>
        <w:pStyle w:val="Compact"/>
        <w:widowControl/>
        <w:numPr>
          <w:ilvl w:val="0"/>
          <w:numId w:val="1076"/>
        </w:numPr>
        <w:rPr/>
      </w:pPr>
      <w:r>
        <w:rPr/>
        <w:t>legal documentation and jurisdiction;</w:t>
      </w:r>
    </w:p>
    <w:p>
      <w:pPr>
        <w:pStyle w:val="Compact"/>
        <w:widowControl/>
        <w:numPr>
          <w:ilvl w:val="0"/>
          <w:numId w:val="1077"/>
        </w:numPr>
        <w:rPr/>
      </w:pPr>
      <w:r>
        <w:rPr/>
        <w:t>custody and bankruptcy remoteness;</w:t>
      </w:r>
    </w:p>
    <w:p>
      <w:pPr>
        <w:pStyle w:val="Compact"/>
        <w:widowControl/>
        <w:numPr>
          <w:ilvl w:val="0"/>
          <w:numId w:val="1078"/>
        </w:numPr>
        <w:rPr/>
      </w:pPr>
      <w:r>
        <w:rPr/>
        <w:t>independent attestations or audits;</w:t>
      </w:r>
    </w:p>
    <w:p>
      <w:pPr>
        <w:pStyle w:val="Compact"/>
        <w:widowControl/>
        <w:numPr>
          <w:ilvl w:val="0"/>
          <w:numId w:val="1079"/>
        </w:numPr>
        <w:rPr/>
      </w:pPr>
      <w:r>
        <w:rPr/>
        <w:t>reserve transparency;</w:t>
      </w:r>
    </w:p>
    <w:p>
      <w:pPr>
        <w:pStyle w:val="Compact"/>
        <w:widowControl/>
        <w:numPr>
          <w:ilvl w:val="0"/>
          <w:numId w:val="1080"/>
        </w:numPr>
        <w:rPr/>
      </w:pPr>
      <w:r>
        <w:rPr/>
        <w:t>oracle and administrator design;</w:t>
      </w:r>
    </w:p>
    <w:p>
      <w:pPr>
        <w:pStyle w:val="Compact"/>
        <w:widowControl/>
        <w:numPr>
          <w:ilvl w:val="0"/>
          <w:numId w:val="1081"/>
        </w:numPr>
        <w:rPr/>
      </w:pPr>
      <w:r>
        <w:rPr/>
        <w:t>redemption and dispute mechanisms;</w:t>
      </w:r>
    </w:p>
    <w:p>
      <w:pPr>
        <w:pStyle w:val="Compact"/>
        <w:widowControl/>
        <w:numPr>
          <w:ilvl w:val="0"/>
          <w:numId w:val="1082"/>
        </w:numPr>
        <w:rPr/>
      </w:pPr>
      <w:r>
        <w:rPr/>
        <w:t>identity and compliance dependencies;</w:t>
      </w:r>
    </w:p>
    <w:p>
      <w:pPr>
        <w:pStyle w:val="Compact"/>
        <w:widowControl/>
        <w:numPr>
          <w:ilvl w:val="0"/>
          <w:numId w:val="1083"/>
        </w:numPr>
        <w:rPr/>
      </w:pPr>
      <w:r>
        <w:rPr/>
        <w:t>reporting frequency and timeliness.</w:t>
      </w:r>
    </w:p>
    <w:p>
      <w:pPr>
        <w:pStyle w:val="Normal"/>
        <w:rPr/>
      </w:pPr>
      <w:bookmarkStart w:id="255" w:name="external-verification-integrity"/>
      <w:r>
        <w:rPr/>
        <w:t>RWAI does not treat regulation as automatically positive or negative. It measures whether the external claim is transparent, enforceable and operationally credible.</w:t>
      </w:r>
      <w:bookmarkEnd w:id="255"/>
    </w:p>
    <w:p>
      <w:pPr>
        <w:pStyle w:val="Heading2"/>
        <w:keepNext w:val="true"/>
        <w:keepLines/>
        <w:widowControl/>
        <w:rPr/>
      </w:pPr>
      <w:bookmarkStart w:id="256" w:name="__RefHeading___Toc8417_528838595"/>
      <w:bookmarkEnd w:id="256"/>
      <w:r>
        <w:rPr/>
        <w:t>15.8 Macroeconomic relevance</w:t>
      </w:r>
    </w:p>
    <w:p>
      <w:pPr>
        <w:pStyle w:val="Normal"/>
        <w:rPr/>
      </w:pPr>
      <w:bookmarkStart w:id="257" w:name="macroeconomic-relevance"/>
      <w:r>
        <w:rPr/>
        <w:t>Tokenisation and digital money are increasingly analysed by institutions such as the Bank for International Settlements and International Monetary Fund [11–14]. Voxonomics uses those developments as contextual evidence, but retains a public, chain-agnostic and reproducible measurement standard.</w:t>
      </w:r>
      <w:bookmarkEnd w:id="257"/>
    </w:p>
    <w:p>
      <w:pPr>
        <w:pStyle w:val="Heading2"/>
        <w:keepNext w:val="true"/>
        <w:keepLines/>
        <w:widowControl/>
        <w:rPr/>
      </w:pPr>
      <w:bookmarkStart w:id="258" w:name="__RefHeading___Toc8419_528838595"/>
      <w:bookmarkEnd w:id="258"/>
      <w:r>
        <w:rPr/>
        <w:t>15.9 Interpretation</w:t>
      </w:r>
    </w:p>
    <w:p>
      <w:pPr>
        <w:pStyle w:val="Normal"/>
        <w:rPr/>
      </w:pPr>
      <w:bookmarkStart w:id="259" w:name="interpretation-5"/>
      <w:bookmarkStart w:id="260" w:name="real-world-adoption-index-rwai"/>
      <w:r>
        <w:rPr/>
        <w:t>A high RWAI indicates meaningful, persistent and verifiable use connected to the broader economy. It does not imply that the network or assets are risk-free or legally recognised in every jurisdiction.</w:t>
      </w:r>
      <w:bookmarkEnd w:id="259"/>
      <w:bookmarkEnd w:id="260"/>
    </w:p>
    <w:p>
      <w:pPr>
        <w:pStyle w:val="Heading1"/>
        <w:keepNext w:val="true"/>
        <w:keepLines/>
        <w:widowControl/>
        <w:pBdr>
          <w:bottom w:val="single" w:sz="6" w:space="5" w:color="8AB2BF"/>
        </w:pBdr>
        <w:jc w:val="left"/>
        <w:rPr/>
      </w:pPr>
      <w:bookmarkStart w:id="261" w:name="__RefHeading___Toc8421_528838595"/>
      <w:bookmarkEnd w:id="261"/>
      <w:r>
        <w:rPr/>
        <w:t>16. Economic Resilience Index (ERI)</w:t>
      </w:r>
    </w:p>
    <w:p>
      <w:pPr>
        <w:pStyle w:val="Heading2"/>
        <w:keepNext w:val="true"/>
        <w:keepLines/>
        <w:widowControl/>
        <w:rPr/>
      </w:pPr>
      <w:bookmarkStart w:id="262" w:name="__RefHeading___Toc8423_528838595"/>
      <w:bookmarkEnd w:id="262"/>
      <w:r>
        <w:rPr/>
        <w:t>16.1 Purpose</w:t>
      </w:r>
    </w:p>
    <w:p>
      <w:pPr>
        <w:pStyle w:val="Normal"/>
        <w:rPr/>
      </w:pPr>
      <w:bookmarkStart w:id="263" w:name="purpose-7"/>
      <w:r>
        <w:rPr/>
        <w:t>ERI measures the ability of a network economy to retain essential function, absorb shocks and recover. It is historical and stress-oriented. PII measures current integrity; ERI measures performance across adverse conditions.</w:t>
      </w:r>
      <w:bookmarkEnd w:id="263"/>
    </w:p>
    <w:p>
      <w:pPr>
        <w:pStyle w:val="Heading2"/>
        <w:keepNext w:val="true"/>
        <w:keepLines/>
        <w:widowControl/>
        <w:rPr/>
      </w:pPr>
      <w:bookmarkStart w:id="264" w:name="__RefHeading___Toc8425_528838595"/>
      <w:bookmarkEnd w:id="264"/>
      <w:r>
        <w:rPr/>
        <w:t>16.2 ERI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Activity retention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preserve useful activity through stress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retention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preserve market function and depth</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Security-budget sustainability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Capacity to fund security under adverse economics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Treasury and resource resilience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Resources available for maintenance and recovery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Shock recovery performance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Speed, completeness and governance quality of recovery</w:t>
            </w:r>
          </w:p>
        </w:tc>
      </w:tr>
    </w:tbl>
    <w:p>
      <w:pPr>
        <w:pStyle w:val="BodyText"/>
        <w:keepLines/>
        <w:spacing w:before="80" w:after="160"/>
        <w:jc w:val="center"/>
        <w:rPr/>
      </w:pPr>
      <w:r>
        <w:rPr/>
        <w:drawing>
          <wp:inline distT="0" distB="0" distL="0" distR="0">
            <wp:extent cx="5445125" cy="287020"/>
            <wp:effectExtent l="0" t="0" r="0" b="0"/>
            <wp:docPr id="26" name="Picture 26" descr="Equation&#10;ERI=0.20AR+0.20LR+0.20SS+0.15TR+0.25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quation&#10;ERI=0.20AR+0.20LR+0.20SS+0.15TR+0.25SR"/>
                    <pic:cNvPicPr>
                      <a:picLocks noChangeAspect="1" noChangeArrowheads="1"/>
                    </pic:cNvPicPr>
                  </pic:nvPicPr>
                  <pic:blipFill>
                    <a:blip r:embed="rId27"/>
                    <a:stretch>
                      <a:fillRect/>
                    </a:stretch>
                  </pic:blipFill>
                  <pic:spPr bwMode="auto">
                    <a:xfrm>
                      <a:off x="0" y="0"/>
                      <a:ext cx="5445125" cy="287020"/>
                    </a:xfrm>
                    <a:prstGeom prst="rect">
                      <a:avLst/>
                    </a:prstGeom>
                    <a:noFill/>
                  </pic:spPr>
                </pic:pic>
              </a:graphicData>
            </a:graphic>
          </wp:inline>
        </w:drawing>
      </w:r>
    </w:p>
    <w:p>
      <w:pPr>
        <w:pStyle w:val="Heading2"/>
        <w:keepNext w:val="true"/>
        <w:keepLines/>
        <w:widowControl/>
        <w:rPr/>
      </w:pPr>
      <w:bookmarkStart w:id="265" w:name="__RefHeading___Toc8427_528838595"/>
      <w:bookmarkEnd w:id="265"/>
      <w:r>
        <w:rPr/>
        <w:t>16.3 Stress-event registry</w:t>
      </w:r>
    </w:p>
    <w:p>
      <w:pPr>
        <w:pStyle w:val="Normal"/>
        <w:rPr/>
      </w:pPr>
      <w:r>
        <w:rPr/>
        <w:t>The DAO maintains a versioned registry of qualifying stress events, including:</w:t>
      </w:r>
    </w:p>
    <w:p>
      <w:pPr>
        <w:pStyle w:val="Compact"/>
        <w:widowControl/>
        <w:numPr>
          <w:ilvl w:val="0"/>
          <w:numId w:val="1084"/>
        </w:numPr>
        <w:rPr/>
      </w:pPr>
      <w:r>
        <w:rPr/>
        <w:t>major crypto-market drawdowns;</w:t>
      </w:r>
    </w:p>
    <w:p>
      <w:pPr>
        <w:pStyle w:val="Compact"/>
        <w:widowControl/>
        <w:numPr>
          <w:ilvl w:val="0"/>
          <w:numId w:val="1085"/>
        </w:numPr>
        <w:rPr/>
      </w:pPr>
      <w:r>
        <w:rPr/>
        <w:t>chain outages or severe congestion;</w:t>
      </w:r>
    </w:p>
    <w:p>
      <w:pPr>
        <w:pStyle w:val="Compact"/>
        <w:widowControl/>
        <w:numPr>
          <w:ilvl w:val="0"/>
          <w:numId w:val="1086"/>
        </w:numPr>
        <w:rPr/>
      </w:pPr>
      <w:r>
        <w:rPr/>
        <w:t>consensus or bridge exploits;</w:t>
      </w:r>
    </w:p>
    <w:p>
      <w:pPr>
        <w:pStyle w:val="Compact"/>
        <w:widowControl/>
        <w:numPr>
          <w:ilvl w:val="0"/>
          <w:numId w:val="1087"/>
        </w:numPr>
        <w:rPr/>
      </w:pPr>
      <w:r>
        <w:rPr/>
        <w:t>stablecoin de-pegs;</w:t>
      </w:r>
    </w:p>
    <w:p>
      <w:pPr>
        <w:pStyle w:val="Compact"/>
        <w:widowControl/>
        <w:numPr>
          <w:ilvl w:val="0"/>
          <w:numId w:val="1088"/>
        </w:numPr>
        <w:rPr/>
      </w:pPr>
      <w:r>
        <w:rPr/>
        <w:t>validator, miner or sequencer exits;</w:t>
      </w:r>
    </w:p>
    <w:p>
      <w:pPr>
        <w:pStyle w:val="Compact"/>
        <w:widowControl/>
        <w:numPr>
          <w:ilvl w:val="0"/>
          <w:numId w:val="1089"/>
        </w:numPr>
        <w:rPr/>
      </w:pPr>
      <w:r>
        <w:rPr/>
        <w:t>liquidity withdrawals;</w:t>
      </w:r>
    </w:p>
    <w:p>
      <w:pPr>
        <w:pStyle w:val="Compact"/>
        <w:widowControl/>
        <w:numPr>
          <w:ilvl w:val="0"/>
          <w:numId w:val="1090"/>
        </w:numPr>
        <w:rPr/>
      </w:pPr>
      <w:r>
        <w:rPr/>
        <w:t>regulatory or infrastructure disruptions;</w:t>
      </w:r>
    </w:p>
    <w:p>
      <w:pPr>
        <w:pStyle w:val="Compact"/>
        <w:widowControl/>
        <w:numPr>
          <w:ilvl w:val="0"/>
          <w:numId w:val="1091"/>
        </w:numPr>
        <w:rPr/>
      </w:pPr>
      <w:r>
        <w:rPr/>
        <w:t>application failures with systemic network effect.</w:t>
      </w:r>
    </w:p>
    <w:p>
      <w:pPr>
        <w:pStyle w:val="Normal"/>
        <w:rPr/>
      </w:pPr>
      <w:bookmarkStart w:id="266" w:name="stress-event-registry"/>
      <w:r>
        <w:rPr/>
        <w:t>Events are included using published thresholds, not subjective selection after seeing outcomes.</w:t>
      </w:r>
      <w:bookmarkEnd w:id="266"/>
    </w:p>
    <w:p>
      <w:pPr>
        <w:pStyle w:val="Heading2"/>
        <w:keepNext w:val="true"/>
        <w:keepLines/>
        <w:widowControl/>
        <w:rPr/>
      </w:pPr>
      <w:bookmarkStart w:id="267" w:name="__RefHeading___Toc8429_528838595"/>
      <w:bookmarkEnd w:id="267"/>
      <w:r>
        <w:rPr/>
        <w:t>16.4 Activity retention</w:t>
      </w:r>
    </w:p>
    <w:p>
      <w:pPr>
        <w:pStyle w:val="Normal"/>
        <w:rPr/>
      </w:pPr>
      <w:r>
        <w:rPr/>
        <w:t>Activity retention compares pre-stress baseline with trough and recovery levels:</w:t>
      </w:r>
    </w:p>
    <w:p>
      <w:pPr>
        <w:pStyle w:val="BodyText"/>
        <w:keepLines/>
        <w:spacing w:before="80" w:after="160"/>
        <w:jc w:val="center"/>
        <w:rPr/>
      </w:pPr>
      <w:r>
        <w:rPr/>
        <w:drawing>
          <wp:inline distT="0" distB="0" distL="0" distR="0">
            <wp:extent cx="2307590" cy="515620"/>
            <wp:effectExtent l="0" t="0" r="0" b="0"/>
            <wp:docPr id="27" name="Picture 27" descr="Equation&#10;\mathrm{Retention}=\frac{\mathrm{Activity}_{\mathrm{stress}}}{\mathrm{Activity}_{\mathrm{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quation&#10;\mathrm{Retention}=\frac{\mathrm{Activity}_{\mathrm{stress}}}{\mathrm{Activity}_{\mathrm{baseline}}}"/>
                    <pic:cNvPicPr>
                      <a:picLocks noChangeAspect="1" noChangeArrowheads="1"/>
                    </pic:cNvPicPr>
                  </pic:nvPicPr>
                  <pic:blipFill>
                    <a:blip r:embed="rId28"/>
                    <a:stretch>
                      <a:fillRect/>
                    </a:stretch>
                  </pic:blipFill>
                  <pic:spPr bwMode="auto">
                    <a:xfrm>
                      <a:off x="0" y="0"/>
                      <a:ext cx="2307590" cy="515620"/>
                    </a:xfrm>
                    <a:prstGeom prst="rect">
                      <a:avLst/>
                    </a:prstGeom>
                    <a:noFill/>
                  </pic:spPr>
                </pic:pic>
              </a:graphicData>
            </a:graphic>
          </wp:inline>
        </w:drawing>
      </w:r>
    </w:p>
    <w:p>
      <w:pPr>
        <w:pStyle w:val="Normal"/>
        <w:keepLines/>
        <w:spacing w:before="80" w:after="160"/>
        <w:jc w:val="center"/>
        <w:rPr/>
      </w:pPr>
      <w:r>
        <w:rPr/>
        <w:drawing>
          <wp:inline distT="0" distB="0" distL="0" distR="0">
            <wp:extent cx="3413760" cy="546100"/>
            <wp:effectExtent l="0" t="0" r="0" b="0"/>
            <wp:docPr id="28" name="Picture 28" descr="Equation&#10;\mathrm{Recovery}=\frac{\mathrm{Activity}_{\mathrm{post}}-\mathrm{Activity}_{\mathrm{trough}}}{\mathrm{Activity}_{\mathrm{baseline}}-\mathrm{Activity}_{\mathrm{t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Equation&#10;\mathrm{Recovery}=\frac{\mathrm{Activity}_{\mathrm{post}}-\mathrm{Activity}_{\mathrm{trough}}}{\mathrm{Activity}_{\mathrm{baseline}}-\mathrm{Activity}_{\mathrm{trough}}}"/>
                    <pic:cNvPicPr>
                      <a:picLocks noChangeAspect="1" noChangeArrowheads="1"/>
                    </pic:cNvPicPr>
                  </pic:nvPicPr>
                  <pic:blipFill>
                    <a:blip r:embed="rId29"/>
                    <a:stretch>
                      <a:fillRect/>
                    </a:stretch>
                  </pic:blipFill>
                  <pic:spPr bwMode="auto">
                    <a:xfrm>
                      <a:off x="0" y="0"/>
                      <a:ext cx="3413760" cy="546100"/>
                    </a:xfrm>
                    <a:prstGeom prst="rect">
                      <a:avLst/>
                    </a:prstGeom>
                    <a:noFill/>
                  </pic:spPr>
                </pic:pic>
              </a:graphicData>
            </a:graphic>
          </wp:inline>
        </w:drawing>
      </w:r>
    </w:p>
    <w:p>
      <w:pPr>
        <w:pStyle w:val="Normal"/>
        <w:rPr/>
      </w:pPr>
      <w:bookmarkStart w:id="268" w:name="activity-retention"/>
      <w:r>
        <w:rPr/>
        <w:t>The component uses multiple activity measures to avoid rewarding spam or temporary incentive replacement.</w:t>
      </w:r>
      <w:bookmarkEnd w:id="268"/>
    </w:p>
    <w:p>
      <w:pPr>
        <w:pStyle w:val="Heading2"/>
        <w:keepNext w:val="true"/>
        <w:keepLines/>
        <w:widowControl/>
        <w:rPr/>
      </w:pPr>
      <w:bookmarkStart w:id="269" w:name="__RefHeading___Toc8431_528838595"/>
      <w:bookmarkEnd w:id="269"/>
      <w:r>
        <w:rPr/>
        <w:t>16.5 Liquidity retention</w:t>
      </w:r>
    </w:p>
    <w:p>
      <w:pPr>
        <w:pStyle w:val="Normal"/>
        <w:rPr/>
      </w:pPr>
      <w:bookmarkStart w:id="270" w:name="liquidity-retention"/>
      <w:r>
        <w:rPr/>
        <w:t>Liquidity resilience examines depth, slippage, stablecoin integrity, liquidation behaviour and venue continuity during stress. A network with high normal-period TVL but catastrophic depth loss receives a weaker ERI.</w:t>
      </w:r>
      <w:bookmarkEnd w:id="270"/>
    </w:p>
    <w:p>
      <w:pPr>
        <w:pStyle w:val="Heading2"/>
        <w:keepNext w:val="true"/>
        <w:keepLines/>
        <w:widowControl/>
        <w:rPr/>
      </w:pPr>
      <w:bookmarkStart w:id="271" w:name="__RefHeading___Toc8433_528838595"/>
      <w:bookmarkEnd w:id="271"/>
      <w:r>
        <w:rPr/>
        <w:t>16.6 Security-budget sustainability</w:t>
      </w:r>
    </w:p>
    <w:p>
      <w:pPr>
        <w:pStyle w:val="Normal"/>
        <w:rPr/>
      </w:pPr>
      <w:r>
        <w:rPr/>
        <w:t>Security-budget sustainability measures whether validators, miners, sequencers and critical infrastructure remain economically supported when token price, issuance or fees decline. Evidence may include:</w:t>
      </w:r>
    </w:p>
    <w:p>
      <w:pPr>
        <w:pStyle w:val="Compact"/>
        <w:widowControl/>
        <w:numPr>
          <w:ilvl w:val="0"/>
          <w:numId w:val="1092"/>
        </w:numPr>
        <w:rPr/>
      </w:pPr>
      <w:r>
        <w:rPr/>
        <w:t>fee coverage of security expenditure;</w:t>
      </w:r>
    </w:p>
    <w:p>
      <w:pPr>
        <w:pStyle w:val="Compact"/>
        <w:widowControl/>
        <w:numPr>
          <w:ilvl w:val="0"/>
          <w:numId w:val="1093"/>
        </w:numPr>
        <w:rPr/>
      </w:pPr>
      <w:r>
        <w:rPr/>
        <w:t>validator or miner exit rates;</w:t>
      </w:r>
    </w:p>
    <w:p>
      <w:pPr>
        <w:pStyle w:val="Compact"/>
        <w:widowControl/>
        <w:numPr>
          <w:ilvl w:val="0"/>
          <w:numId w:val="1094"/>
        </w:numPr>
        <w:rPr/>
      </w:pPr>
      <w:r>
        <w:rPr/>
        <w:t>concentration changes during stress;</w:t>
      </w:r>
    </w:p>
    <w:p>
      <w:pPr>
        <w:pStyle w:val="Compact"/>
        <w:widowControl/>
        <w:numPr>
          <w:ilvl w:val="0"/>
          <w:numId w:val="1095"/>
        </w:numPr>
        <w:rPr/>
      </w:pPr>
      <w:r>
        <w:rPr/>
        <w:t>profitability sensitivity;</w:t>
      </w:r>
    </w:p>
    <w:p>
      <w:pPr>
        <w:pStyle w:val="Compact"/>
        <w:widowControl/>
        <w:numPr>
          <w:ilvl w:val="0"/>
          <w:numId w:val="1096"/>
        </w:numPr>
        <w:rPr/>
      </w:pPr>
      <w:r>
        <w:rPr/>
        <w:t>reserve and insurance mechanisms;</w:t>
      </w:r>
    </w:p>
    <w:p>
      <w:pPr>
        <w:pStyle w:val="Compact"/>
        <w:widowControl/>
        <w:numPr>
          <w:ilvl w:val="0"/>
          <w:numId w:val="1097"/>
        </w:numPr>
        <w:rPr/>
      </w:pPr>
      <w:bookmarkStart w:id="272" w:name="security-budget-sustainability"/>
      <w:r>
        <w:rPr/>
        <w:t>dependency on temporary emissions.</w:t>
      </w:r>
      <w:bookmarkEnd w:id="272"/>
    </w:p>
    <w:p>
      <w:pPr>
        <w:pStyle w:val="Heading2"/>
        <w:keepNext w:val="true"/>
        <w:keepLines/>
        <w:widowControl/>
        <w:rPr/>
      </w:pPr>
      <w:bookmarkStart w:id="273" w:name="__RefHeading___Toc8435_528838595"/>
      <w:bookmarkEnd w:id="273"/>
      <w:r>
        <w:rPr/>
        <w:t>16.7 Treasury and resource resilience</w:t>
      </w:r>
    </w:p>
    <w:p>
      <w:pPr>
        <w:pStyle w:val="Normal"/>
        <w:rPr/>
      </w:pPr>
      <w:r>
        <w:rPr/>
        <w:t>This sub-index measures resources available to maintain software, respond to incidents and fund public goods. It considers:</w:t>
      </w:r>
    </w:p>
    <w:p>
      <w:pPr>
        <w:pStyle w:val="Compact"/>
        <w:widowControl/>
        <w:numPr>
          <w:ilvl w:val="0"/>
          <w:numId w:val="1098"/>
        </w:numPr>
        <w:rPr/>
      </w:pPr>
      <w:r>
        <w:rPr/>
        <w:t>liquid and diversified treasury assets;</w:t>
      </w:r>
    </w:p>
    <w:p>
      <w:pPr>
        <w:pStyle w:val="Compact"/>
        <w:widowControl/>
        <w:numPr>
          <w:ilvl w:val="0"/>
          <w:numId w:val="1099"/>
        </w:numPr>
        <w:rPr/>
      </w:pPr>
      <w:r>
        <w:rPr/>
        <w:t>burn rate and operating runway;</w:t>
      </w:r>
    </w:p>
    <w:p>
      <w:pPr>
        <w:pStyle w:val="Compact"/>
        <w:widowControl/>
        <w:numPr>
          <w:ilvl w:val="0"/>
          <w:numId w:val="1100"/>
        </w:numPr>
        <w:rPr/>
      </w:pPr>
      <w:r>
        <w:rPr/>
        <w:t>concentration in the native token;</w:t>
      </w:r>
    </w:p>
    <w:p>
      <w:pPr>
        <w:pStyle w:val="Compact"/>
        <w:widowControl/>
        <w:numPr>
          <w:ilvl w:val="0"/>
          <w:numId w:val="1101"/>
        </w:numPr>
        <w:rPr/>
      </w:pPr>
      <w:r>
        <w:rPr/>
        <w:t>transparent spending controls;</w:t>
      </w:r>
    </w:p>
    <w:p>
      <w:pPr>
        <w:pStyle w:val="Compact"/>
        <w:widowControl/>
        <w:numPr>
          <w:ilvl w:val="0"/>
          <w:numId w:val="1102"/>
        </w:numPr>
        <w:rPr/>
      </w:pPr>
      <w:r>
        <w:rPr/>
        <w:t>insurance or safety modules;</w:t>
      </w:r>
    </w:p>
    <w:p>
      <w:pPr>
        <w:pStyle w:val="Compact"/>
        <w:widowControl/>
        <w:numPr>
          <w:ilvl w:val="0"/>
          <w:numId w:val="1103"/>
        </w:numPr>
        <w:rPr/>
      </w:pPr>
      <w:bookmarkStart w:id="274" w:name="treasury-and-resource-resilience"/>
      <w:r>
        <w:rPr/>
        <w:t>ability to fund urgent remediation without arbitrary dilution.</w:t>
      </w:r>
      <w:bookmarkEnd w:id="274"/>
    </w:p>
    <w:p>
      <w:pPr>
        <w:pStyle w:val="Heading2"/>
        <w:keepNext w:val="true"/>
        <w:keepLines/>
        <w:widowControl/>
        <w:rPr/>
      </w:pPr>
      <w:bookmarkStart w:id="275" w:name="__RefHeading___Toc8437_528838595"/>
      <w:bookmarkEnd w:id="275"/>
      <w:r>
        <w:rPr/>
        <w:t>16.8 Shock recovery performance</w:t>
      </w:r>
    </w:p>
    <w:p>
      <w:pPr>
        <w:pStyle w:val="Normal"/>
        <w:rPr/>
      </w:pPr>
      <w:r>
        <w:rPr/>
        <w:t>Recovery quality considers:</w:t>
      </w:r>
    </w:p>
    <w:p>
      <w:pPr>
        <w:pStyle w:val="Compact"/>
        <w:widowControl/>
        <w:numPr>
          <w:ilvl w:val="0"/>
          <w:numId w:val="1104"/>
        </w:numPr>
        <w:rPr/>
      </w:pPr>
      <w:r>
        <w:rPr/>
        <w:t>time to restore normal operation;</w:t>
      </w:r>
    </w:p>
    <w:p>
      <w:pPr>
        <w:pStyle w:val="Compact"/>
        <w:widowControl/>
        <w:numPr>
          <w:ilvl w:val="0"/>
          <w:numId w:val="1105"/>
        </w:numPr>
        <w:rPr/>
      </w:pPr>
      <w:r>
        <w:rPr/>
        <w:t>percentage of lost activity or liquidity recovered;</w:t>
      </w:r>
    </w:p>
    <w:p>
      <w:pPr>
        <w:pStyle w:val="Compact"/>
        <w:widowControl/>
        <w:numPr>
          <w:ilvl w:val="0"/>
          <w:numId w:val="1106"/>
        </w:numPr>
        <w:rPr/>
      </w:pPr>
      <w:r>
        <w:rPr/>
        <w:t>treatment of affected users;</w:t>
      </w:r>
    </w:p>
    <w:p>
      <w:pPr>
        <w:pStyle w:val="Compact"/>
        <w:widowControl/>
        <w:numPr>
          <w:ilvl w:val="0"/>
          <w:numId w:val="1107"/>
        </w:numPr>
        <w:rPr/>
      </w:pPr>
      <w:r>
        <w:rPr/>
        <w:t>transparency and post-mortem quality;</w:t>
      </w:r>
    </w:p>
    <w:p>
      <w:pPr>
        <w:pStyle w:val="Compact"/>
        <w:widowControl/>
        <w:numPr>
          <w:ilvl w:val="0"/>
          <w:numId w:val="1108"/>
        </w:numPr>
        <w:rPr/>
      </w:pPr>
      <w:r>
        <w:rPr/>
        <w:t>remediation completion;</w:t>
      </w:r>
    </w:p>
    <w:p>
      <w:pPr>
        <w:pStyle w:val="Compact"/>
        <w:widowControl/>
        <w:numPr>
          <w:ilvl w:val="0"/>
          <w:numId w:val="1109"/>
        </w:numPr>
        <w:rPr/>
      </w:pPr>
      <w:r>
        <w:rPr/>
        <w:t>recurrence prevention;</w:t>
      </w:r>
    </w:p>
    <w:p>
      <w:pPr>
        <w:pStyle w:val="Compact"/>
        <w:widowControl/>
        <w:numPr>
          <w:ilvl w:val="0"/>
          <w:numId w:val="1110"/>
        </w:numPr>
        <w:rPr/>
      </w:pPr>
      <w:r>
        <w:rPr/>
        <w:t>governance coordination and decision latency.</w:t>
      </w:r>
    </w:p>
    <w:p>
      <w:pPr>
        <w:pStyle w:val="Normal"/>
        <w:rPr/>
      </w:pPr>
      <w:bookmarkStart w:id="276" w:name="shock-recovery-performance"/>
      <w:r>
        <w:rPr/>
        <w:t>Fast recovery through opaque central intervention may restore function but reduce PII if control risk is exposed. The framework records both outcomes rather than forcing one narrative.</w:t>
      </w:r>
      <w:bookmarkEnd w:id="276"/>
    </w:p>
    <w:p>
      <w:pPr>
        <w:pStyle w:val="Heading2"/>
        <w:keepNext w:val="true"/>
        <w:keepLines/>
        <w:widowControl/>
        <w:rPr/>
      </w:pPr>
      <w:bookmarkStart w:id="277" w:name="__RefHeading___Toc8439_528838595"/>
      <w:bookmarkEnd w:id="277"/>
      <w:r>
        <w:rPr/>
        <w:t>16.9 Minimum history</w:t>
      </w:r>
    </w:p>
    <w:p>
      <w:pPr>
        <w:pStyle w:val="Normal"/>
        <w:rPr/>
      </w:pPr>
      <w:bookmarkStart w:id="278" w:name="minimum-history"/>
      <w:r>
        <w:rPr/>
        <w:t>A network requires at least 180 days of data for an official ERI and preferably evidence across at least one qualifying stress period. New networks may receive a provisional ERI based on scenario analysis, but VCS and publication status must make the limited history clear.</w:t>
      </w:r>
      <w:bookmarkEnd w:id="278"/>
    </w:p>
    <w:p>
      <w:pPr>
        <w:pStyle w:val="Heading2"/>
        <w:keepNext w:val="true"/>
        <w:keepLines/>
        <w:widowControl/>
        <w:rPr/>
      </w:pPr>
      <w:bookmarkStart w:id="279" w:name="__RefHeading___Toc8441_528838595"/>
      <w:bookmarkEnd w:id="279"/>
      <w:r>
        <w:rPr/>
        <w:t>16.10 Interpretation</w:t>
      </w:r>
    </w:p>
    <w:p>
      <w:pPr>
        <w:pStyle w:val="Normal"/>
        <w:rPr/>
      </w:pPr>
      <w:bookmarkStart w:id="280" w:name="interpretation-6"/>
      <w:bookmarkStart w:id="281" w:name="economic-resilience-index-eri"/>
      <w:r>
        <w:rPr/>
        <w:t>A high ERI indicates demonstrated capacity to retain function and recover through adverse conditions. Historical resilience does not guarantee future resilience, especially when architecture, governance or market structure changes.</w:t>
      </w:r>
      <w:bookmarkEnd w:id="280"/>
      <w:bookmarkEnd w:id="281"/>
    </w:p>
    <w:p>
      <w:pPr>
        <w:pStyle w:val="Heading1"/>
        <w:keepNext w:val="true"/>
        <w:keepLines/>
        <w:widowControl/>
        <w:pBdr>
          <w:bottom w:val="single" w:sz="6" w:space="5" w:color="8AB2BF"/>
        </w:pBdr>
        <w:jc w:val="left"/>
        <w:rPr/>
      </w:pPr>
      <w:bookmarkStart w:id="282" w:name="__RefHeading___Toc8443_528838595"/>
      <w:bookmarkEnd w:id="282"/>
      <w:r>
        <w:rPr/>
        <w:t>17. Aggregation, Missing Data and Publication Rules</w:t>
      </w:r>
    </w:p>
    <w:p>
      <w:pPr>
        <w:pStyle w:val="Heading2"/>
        <w:keepNext w:val="true"/>
        <w:keepLines/>
        <w:widowControl/>
        <w:rPr/>
      </w:pPr>
      <w:bookmarkStart w:id="283" w:name="__RefHeading___Toc8445_528838595"/>
      <w:bookmarkStart w:id="284" w:name="no-arbitrary-neutral-value"/>
      <w:bookmarkEnd w:id="283"/>
      <w:r>
        <w:rPr/>
        <w:t>17.1 No arbitrary neutral value</w:t>
      </w:r>
    </w:p>
    <w:p>
      <w:pPr>
        <w:pStyle w:val="Normal"/>
        <w:rPr/>
      </w:pPr>
      <w:r>
        <w:rPr/>
        <w:t>Edition 3.1 prohibits the use of an automatic 0.5 or 50 score for missing data. A neutral placeholder creates a false claim about performance.</w:t>
      </w:r>
    </w:p>
    <w:p>
      <w:pPr>
        <w:pStyle w:val="BodyText"/>
        <w:widowControl/>
        <w:rPr/>
      </w:pPr>
      <w:r>
        <w:rPr/>
        <w:t>The framework distinguishes:</w:t>
      </w:r>
    </w:p>
    <w:p>
      <w:pPr>
        <w:pStyle w:val="Compact"/>
        <w:widowControl/>
        <w:numPr>
          <w:ilvl w:val="0"/>
          <w:numId w:val="1111"/>
        </w:numPr>
        <w:rPr/>
      </w:pPr>
      <w:r>
        <w:rPr>
          <w:b/>
          <w:bCs/>
        </w:rPr>
        <w:t>functionally absent</w:t>
      </w:r>
      <w:r>
        <w:rPr/>
        <w:t xml:space="preserve"> — the economic function is genuinely not present;</w:t>
      </w:r>
    </w:p>
    <w:p>
      <w:pPr>
        <w:pStyle w:val="Compact"/>
        <w:widowControl/>
        <w:numPr>
          <w:ilvl w:val="0"/>
          <w:numId w:val="1112"/>
        </w:numPr>
        <w:rPr/>
      </w:pPr>
      <w:r>
        <w:rPr>
          <w:b/>
          <w:bCs/>
        </w:rPr>
        <w:t>not applicable by design</w:t>
      </w:r>
      <w:r>
        <w:rPr/>
        <w:t xml:space="preserve"> — the universal function exists but is evidenced differently through an adapter;</w:t>
      </w:r>
    </w:p>
    <w:p>
      <w:pPr>
        <w:pStyle w:val="Compact"/>
        <w:widowControl/>
        <w:numPr>
          <w:ilvl w:val="0"/>
          <w:numId w:val="1113"/>
        </w:numPr>
        <w:rPr/>
      </w:pPr>
      <w:r>
        <w:rPr>
          <w:b/>
          <w:bCs/>
        </w:rPr>
        <w:t>temporarily unavailable</w:t>
      </w:r>
      <w:r>
        <w:rPr/>
        <w:t xml:space="preserve"> — the function exists but data acquisition failed;</w:t>
      </w:r>
    </w:p>
    <w:p>
      <w:pPr>
        <w:pStyle w:val="Compact"/>
        <w:widowControl/>
        <w:numPr>
          <w:ilvl w:val="0"/>
          <w:numId w:val="1114"/>
        </w:numPr>
        <w:rPr/>
      </w:pPr>
      <w:r>
        <w:rPr>
          <w:b/>
          <w:bCs/>
        </w:rPr>
        <w:t>unobservable</w:t>
      </w:r>
      <w:r>
        <w:rPr/>
        <w:t xml:space="preserve"> — evidence cannot be verified under the current adapter;</w:t>
      </w:r>
    </w:p>
    <w:p>
      <w:pPr>
        <w:pStyle w:val="Compact"/>
        <w:widowControl/>
        <w:numPr>
          <w:ilvl w:val="0"/>
          <w:numId w:val="1115"/>
        </w:numPr>
        <w:rPr/>
      </w:pPr>
      <w:r>
        <w:rPr>
          <w:b/>
          <w:bCs/>
        </w:rPr>
        <w:t>not yet implemented</w:t>
      </w:r>
      <w:r>
        <w:rPr/>
        <w:t xml:space="preserve"> — the adapter lacks the metric.</w:t>
      </w:r>
      <w:bookmarkEnd w:id="284"/>
    </w:p>
    <w:p>
      <w:pPr>
        <w:pStyle w:val="Heading2"/>
        <w:keepNext w:val="true"/>
        <w:keepLines/>
        <w:widowControl/>
        <w:rPr/>
      </w:pPr>
      <w:bookmarkStart w:id="285" w:name="__RefHeading___Toc8447_528838595"/>
      <w:bookmarkEnd w:id="285"/>
      <w:r>
        <w:rPr/>
        <w:t>17.2 Functional absence</w:t>
      </w:r>
    </w:p>
    <w:p>
      <w:pPr>
        <w:pStyle w:val="Normal"/>
        <w:rPr/>
      </w:pPr>
      <w:bookmarkStart w:id="286" w:name="functional-absence"/>
      <w:r>
        <w:rPr/>
        <w:t>If a network does not perform a measured economic function, the relevant sub-index can receive a low or zero score. For example, a network with no meaningful external adoption should not receive a neutral RWAI merely because RWAI is optional to its strategy. Voxonomics measures what exists, not what the network intends to prioritise.</w:t>
      </w:r>
      <w:bookmarkEnd w:id="286"/>
    </w:p>
    <w:p>
      <w:pPr>
        <w:pStyle w:val="Heading2"/>
        <w:keepNext w:val="true"/>
        <w:keepLines/>
        <w:widowControl/>
        <w:rPr/>
      </w:pPr>
      <w:bookmarkStart w:id="287" w:name="__RefHeading___Toc8449_528838595"/>
      <w:bookmarkEnd w:id="287"/>
      <w:r>
        <w:rPr/>
        <w:t>17.3 Technical non-applicability</w:t>
      </w:r>
    </w:p>
    <w:p>
      <w:pPr>
        <w:pStyle w:val="Normal"/>
        <w:rPr/>
      </w:pPr>
      <w:bookmarkStart w:id="288" w:name="technical-non-applicability"/>
      <w:r>
        <w:rPr/>
        <w:t>Technical non-applicability is handled through an equivalent adapter. A proof-of-work network does not need a staked-supply ratio, but it does need evidence for distributed security participation. The universal function remains applicable.</w:t>
      </w:r>
      <w:bookmarkEnd w:id="288"/>
    </w:p>
    <w:p>
      <w:pPr>
        <w:pStyle w:val="Heading2"/>
        <w:keepNext w:val="true"/>
        <w:keepLines/>
        <w:widowControl/>
        <w:rPr/>
      </w:pPr>
      <w:bookmarkStart w:id="289" w:name="__RefHeading___Toc8451_528838595"/>
      <w:bookmarkEnd w:id="289"/>
      <w:r>
        <w:rPr/>
        <w:t>17.4 Coverage thresholds</w:t>
      </w:r>
    </w:p>
    <w:p>
      <w:pPr>
        <w:pStyle w:val="Normal"/>
        <w:rPr/>
      </w:pPr>
      <w:r>
        <w:rPr/>
        <w:t>For an official parent index:</w:t>
      </w:r>
    </w:p>
    <w:p>
      <w:pPr>
        <w:pStyle w:val="Compact"/>
        <w:widowControl/>
        <w:numPr>
          <w:ilvl w:val="0"/>
          <w:numId w:val="1116"/>
        </w:numPr>
        <w:rPr/>
      </w:pPr>
      <w:r>
        <w:rPr/>
        <w:t>at least 80% of approved sub-index weight must have valid evidence;</w:t>
      </w:r>
    </w:p>
    <w:p>
      <w:pPr>
        <w:pStyle w:val="Compact"/>
        <w:widowControl/>
        <w:numPr>
          <w:ilvl w:val="0"/>
          <w:numId w:val="1117"/>
        </w:numPr>
        <w:rPr/>
      </w:pPr>
      <w:r>
        <w:rPr/>
        <w:t>no mandatory critical sub-index may be missing;</w:t>
      </w:r>
    </w:p>
    <w:p>
      <w:pPr>
        <w:pStyle w:val="Compact"/>
        <w:widowControl/>
        <w:numPr>
          <w:ilvl w:val="0"/>
          <w:numId w:val="1118"/>
        </w:numPr>
        <w:rPr/>
      </w:pPr>
      <w:r>
        <w:rPr/>
        <w:t>source and freshness thresholds must be met;</w:t>
      </w:r>
    </w:p>
    <w:p>
      <w:pPr>
        <w:pStyle w:val="Compact"/>
        <w:widowControl/>
        <w:numPr>
          <w:ilvl w:val="0"/>
          <w:numId w:val="1119"/>
        </w:numPr>
        <w:rPr/>
      </w:pPr>
      <w:r>
        <w:rPr/>
        <w:t>the parent-index confidence must be at least 55.</w:t>
      </w:r>
    </w:p>
    <w:p>
      <w:pPr>
        <w:pStyle w:val="Normal"/>
        <w:rPr/>
      </w:pPr>
      <w:bookmarkStart w:id="290" w:name="coverage-thresholds"/>
      <w:r>
        <w:rPr/>
        <w:t>An official VTS requires all six official parent indices and overall VCS of at least 70.</w:t>
      </w:r>
      <w:bookmarkEnd w:id="290"/>
    </w:p>
    <w:p>
      <w:pPr>
        <w:pStyle w:val="Heading2"/>
        <w:keepNext w:val="true"/>
        <w:keepLines/>
        <w:widowControl/>
        <w:rPr/>
      </w:pPr>
      <w:bookmarkStart w:id="291" w:name="__RefHeading___Toc8453_528838595"/>
      <w:bookmarkEnd w:id="291"/>
      <w:r>
        <w:rPr/>
        <w:t>17.5 Partial aggregation</w:t>
      </w:r>
    </w:p>
    <w:p>
      <w:pPr>
        <w:pStyle w:val="Normal"/>
        <w:rPr/>
      </w:pPr>
      <w:r>
        <w:rPr/>
        <w:t>Where a provisional index is calculated with partial evidence, observed weights are renormalised only for diagnostic display:</w:t>
      </w:r>
    </w:p>
    <w:p>
      <w:pPr>
        <w:pStyle w:val="BodyText"/>
        <w:keepLines/>
        <w:spacing w:before="80" w:after="160"/>
        <w:jc w:val="center"/>
        <w:rPr/>
      </w:pPr>
      <w:r>
        <w:rPr/>
        <w:drawing>
          <wp:inline distT="0" distB="0" distL="0" distR="0">
            <wp:extent cx="2273300" cy="874395"/>
            <wp:effectExtent l="0" t="0" r="0" b="0"/>
            <wp:docPr id="29" name="Picture 29" descr="Equation&#10;Index_{\mathrm{provisional}}=\frac{\sum_{k\in O}w_k s_k}{\sum_{k\in O}w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Equation&#10;Index_{\mathrm{provisional}}=\frac{\sum_{k\in O}w_k s_k}{\sum_{k\in O}w_k}"/>
                    <pic:cNvPicPr>
                      <a:picLocks noChangeAspect="1" noChangeArrowheads="1"/>
                    </pic:cNvPicPr>
                  </pic:nvPicPr>
                  <pic:blipFill>
                    <a:blip r:embed="rId30"/>
                    <a:stretch>
                      <a:fillRect/>
                    </a:stretch>
                  </pic:blipFill>
                  <pic:spPr bwMode="auto">
                    <a:xfrm>
                      <a:off x="0" y="0"/>
                      <a:ext cx="2273300" cy="874395"/>
                    </a:xfrm>
                    <a:prstGeom prst="rect">
                      <a:avLst/>
                    </a:prstGeom>
                    <a:noFill/>
                  </pic:spPr>
                </pic:pic>
              </a:graphicData>
            </a:graphic>
          </wp:inline>
        </w:drawing>
      </w:r>
    </w:p>
    <w:p>
      <w:pPr>
        <w:pStyle w:val="Normal"/>
        <w:rPr/>
      </w:pPr>
      <w:r>
        <w:rPr/>
        <w:t>where O is the observed set. The result is labelled provisional and cannot be treated as directly equivalent to an official index.</w:t>
      </w:r>
    </w:p>
    <w:p>
      <w:pPr>
        <w:pStyle w:val="Heading2"/>
        <w:keepNext w:val="true"/>
        <w:keepLines/>
        <w:widowControl/>
        <w:rPr/>
      </w:pPr>
      <w:bookmarkStart w:id="292" w:name="__RefHeading___Toc8455_528838595"/>
      <w:bookmarkEnd w:id="292"/>
      <w:r>
        <w:rPr/>
        <w:t>17.6 Publication bands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855"/>
        <w:gridCol w:w="2886"/>
        <w:gridCol w:w="2897"/>
      </w:tblGrid>
      <w:tr>
        <w:trPr>
          <w:tblHeader w:val="true"/>
          <w:cantSplit w:val="true"/>
        </w:trPr>
        <w:tc>
          <w:tcPr>
            <w:tcW w:w="3855"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VCS</w:t>
            </w:r>
          </w:p>
        </w:tc>
        <w:tc>
          <w:tcPr>
            <w:tcW w:w="2886"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Publication status</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Use</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85–100</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 confidence</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Official; eligible for advanced implementation review</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70–84</w:t>
            </w:r>
          </w:p>
        </w:tc>
        <w:tc>
          <w:tcPr>
            <w:tcW w:w="2886"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Official</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Comparable headline publication</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55–69</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Provisional</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Research use with visible limitations</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40–54</w:t>
            </w:r>
          </w:p>
        </w:tc>
        <w:tc>
          <w:tcPr>
            <w:tcW w:w="2886"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Experimental</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Diagnostic only; no headline ranking</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Below 40</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Insufficient</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 composite score published</w:t>
            </w:r>
            <w:bookmarkStart w:id="293" w:name="publication-bands"/>
            <w:bookmarkEnd w:id="293"/>
          </w:p>
        </w:tc>
      </w:tr>
    </w:tbl>
    <w:p>
      <w:pPr>
        <w:pStyle w:val="Heading2"/>
        <w:keepNext w:val="true"/>
        <w:keepLines/>
        <w:widowControl/>
        <w:rPr/>
      </w:pPr>
      <w:bookmarkStart w:id="294" w:name="__RefHeading___Toc8457_528838595"/>
      <w:bookmarkEnd w:id="294"/>
      <w:r>
        <w:rPr/>
        <w:t>17.7 Disputed results</w:t>
      </w:r>
    </w:p>
    <w:p>
      <w:pPr>
        <w:pStyle w:val="Normal"/>
        <w:rPr/>
      </w:pPr>
      <w:r>
        <w:rPr/>
        <w:t>A material dispute creates a visible flag and may suspend the affected metric or publication. The prior official result remains available with its historical status. Resolution requires evidence, not informal agreement.</w:t>
      </w:r>
    </w:p>
    <w:p>
      <w:pPr>
        <w:pStyle w:val="Heading2"/>
        <w:keepNext w:val="true"/>
        <w:keepLines/>
        <w:widowControl/>
        <w:rPr/>
      </w:pPr>
      <w:bookmarkStart w:id="295" w:name="__RefHeading___Toc8459_528838595"/>
      <w:bookmarkEnd w:id="295"/>
      <w:r>
        <w:rPr/>
        <w:t>17.8 Calculation frequency</w:t>
      </w:r>
    </w:p>
    <w:p>
      <w:pPr>
        <w:pStyle w:val="Normal"/>
        <w:rPr/>
      </w:pPr>
      <w:bookmarkStart w:id="296" w:name="calculation-frequency"/>
      <w:bookmarkStart w:id="297" w:name="Xc258fd46bbb11257fdd6830674dae900ccb3f21"/>
      <w:r>
        <w:rPr/>
        <w:t>Headline VTS may update daily, but the effective movement reflects metric-specific smoothing. Material security or availability events may trigger immediate PII and VRS updates. Every publication shows observation time and calculation time separately.</w:t>
      </w:r>
      <w:bookmarkEnd w:id="296"/>
      <w:bookmarkEnd w:id="297"/>
      <w:r>
        <w:br w:type="page"/>
      </w:r>
    </w:p>
    <w:p>
      <w:pPr>
        <w:pStyle w:val="PartTitle"/>
        <w:spacing w:before="0" w:after="360"/>
        <w:rPr/>
      </w:pPr>
      <w:bookmarkStart w:id="298" w:name="__RefHeading___Toc8461_528838595"/>
      <w:bookmarkStart w:id="299" w:name="X4b4aaab1866d78c0cd66fc001888ced1bd846fa"/>
      <w:bookmarkEnd w:id="298"/>
      <w:r>
        <w:rPr/>
        <w:t>Part IV — Recognition, Opportunity, Risk and Confidence</w:t>
      </w:r>
      <w:bookmarkEnd w:id="299"/>
    </w:p>
    <w:p>
      <w:pPr>
        <w:pStyle w:val="Heading1"/>
        <w:keepNext w:val="true"/>
        <w:keepLines/>
        <w:widowControl/>
        <w:pBdr>
          <w:bottom w:val="single" w:sz="6" w:space="5" w:color="8AB2BF"/>
        </w:pBdr>
        <w:jc w:val="left"/>
        <w:rPr/>
      </w:pPr>
      <w:bookmarkStart w:id="300" w:name="__RefHeading___Toc8463_528838595"/>
      <w:bookmarkStart w:id="301" w:name="value-recognition-index-vri"/>
      <w:bookmarkEnd w:id="300"/>
      <w:r>
        <w:rPr/>
        <w:t>18. Value Recognition Index (VRI)</w:t>
      </w:r>
    </w:p>
    <w:p>
      <w:pPr>
        <w:pStyle w:val="Heading2"/>
        <w:keepNext w:val="true"/>
        <w:keepLines/>
        <w:widowControl/>
        <w:rPr/>
      </w:pPr>
      <w:bookmarkStart w:id="302" w:name="__RefHeading___Toc8465_528838595"/>
      <w:bookmarkEnd w:id="302"/>
      <w:r>
        <w:rPr/>
        <w:t>18.1 Purpose</w:t>
      </w:r>
    </w:p>
    <w:p>
      <w:pPr>
        <w:pStyle w:val="Normal"/>
        <w:rPr/>
      </w:pPr>
      <w:r>
        <w:rPr/>
        <w:t>VRI measures how strongly markets recognise a network’s measured economic fundamentals. It is separate from VTS because market valuation can diverge from intrinsic performance for extended periods.</w:t>
      </w:r>
    </w:p>
    <w:p>
      <w:pPr>
        <w:pStyle w:val="BodyText"/>
        <w:widowControl/>
        <w:rPr/>
      </w:pPr>
      <w:bookmarkStart w:id="303" w:name="purpose-8"/>
      <w:r>
        <w:rPr/>
        <w:t>VRI is not a simple market-cap score. It combines valuation, liquidity-adjusted price discovery, token supply quality and the relationship between market value and economic output.</w:t>
      </w:r>
      <w:bookmarkEnd w:id="303"/>
    </w:p>
    <w:p>
      <w:pPr>
        <w:pStyle w:val="Heading2"/>
        <w:keepNext w:val="true"/>
        <w:keepLines/>
        <w:widowControl/>
        <w:rPr/>
      </w:pPr>
      <w:bookmarkStart w:id="304" w:name="__RefHeading___Toc8467_528838595"/>
      <w:bookmarkEnd w:id="304"/>
      <w:r>
        <w:rPr/>
        <w:t>18.2 VRI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Liquidity-adjusted network valuation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 supported by executable liquidity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Fundamental valuation recognition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Recognition relative to fees, revenue, settlement and value capture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 supply and dilution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Reliability of circulating supply and future dilution profile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breadth and accessibility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of credible markets and participants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Recognition persistence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Durability rather than temporary speculative spikes</w:t>
            </w:r>
          </w:p>
        </w:tc>
      </w:tr>
    </w:tbl>
    <w:p>
      <w:pPr>
        <w:pStyle w:val="BodyText"/>
        <w:keepLines/>
        <w:spacing w:before="80" w:after="160"/>
        <w:jc w:val="center"/>
        <w:rPr/>
      </w:pPr>
      <w:r>
        <w:rPr/>
        <w:drawing>
          <wp:inline distT="0" distB="0" distL="0" distR="0">
            <wp:extent cx="5623560" cy="281305"/>
            <wp:effectExtent l="0" t="0" r="0" b="0"/>
            <wp:docPr id="30" name="Picture 30" descr="Equation&#10;VRI_{\mathrm{core}}=0.30LV+0.25FV+0.20SQ+0.15MB+0.10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Equation&#10;VRI_{\mathrm{core}}=0.30LV+0.25FV+0.20SQ+0.15MB+0.10RP"/>
                    <pic:cNvPicPr>
                      <a:picLocks noChangeAspect="1" noChangeArrowheads="1"/>
                    </pic:cNvPicPr>
                  </pic:nvPicPr>
                  <pic:blipFill>
                    <a:blip r:embed="rId31"/>
                    <a:stretch>
                      <a:fillRect/>
                    </a:stretch>
                  </pic:blipFill>
                  <pic:spPr bwMode="auto">
                    <a:xfrm>
                      <a:off x="0" y="0"/>
                      <a:ext cx="5623560" cy="281305"/>
                    </a:xfrm>
                    <a:prstGeom prst="rect">
                      <a:avLst/>
                    </a:prstGeom>
                    <a:noFill/>
                  </pic:spPr>
                </pic:pic>
              </a:graphicData>
            </a:graphic>
          </wp:inline>
        </w:drawing>
      </w:r>
    </w:p>
    <w:p>
      <w:pPr>
        <w:pStyle w:val="Normal"/>
        <w:rPr/>
      </w:pPr>
      <w:r>
        <w:rPr/>
        <w:t>Each VRI sub-index is scored from 0 to 100. The core VRI is converted to the same standardised scale as VTS using a versioned recognition benchmark:</w:t>
      </w:r>
    </w:p>
    <w:p>
      <w:pPr>
        <w:pStyle w:val="BodyText"/>
        <w:keepLines/>
        <w:spacing w:before="80" w:after="160"/>
        <w:jc w:val="center"/>
        <w:rPr/>
      </w:pPr>
      <w:r>
        <w:rPr/>
        <w:drawing>
          <wp:inline distT="0" distB="0" distL="0" distR="0">
            <wp:extent cx="1614805" cy="511810"/>
            <wp:effectExtent l="0" t="0" r="0" b="0"/>
            <wp:docPr id="31" name="Picture 31" descr="Equation&#10;VRI=\frac{VRI_{\mathrm{core}}/100}{ERU_{\mathrm{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Equation&#10;VRI=\frac{VRI_{\mathrm{core}}/100}{ERU_{\mathrm{recognition}}}"/>
                    <pic:cNvPicPr>
                      <a:picLocks noChangeAspect="1" noChangeArrowheads="1"/>
                    </pic:cNvPicPr>
                  </pic:nvPicPr>
                  <pic:blipFill>
                    <a:blip r:embed="rId32"/>
                    <a:stretch>
                      <a:fillRect/>
                    </a:stretch>
                  </pic:blipFill>
                  <pic:spPr bwMode="auto">
                    <a:xfrm>
                      <a:off x="0" y="0"/>
                      <a:ext cx="1614805" cy="511810"/>
                    </a:xfrm>
                    <a:prstGeom prst="rect">
                      <a:avLst/>
                    </a:prstGeom>
                    <a:noFill/>
                  </pic:spPr>
                </pic:pic>
              </a:graphicData>
            </a:graphic>
          </wp:inline>
        </w:drawing>
      </w:r>
    </w:p>
    <w:p>
      <w:pPr>
        <w:pStyle w:val="Normal"/>
        <w:rPr/>
      </w:pPr>
      <w:bookmarkStart w:id="305" w:name="vri-composition"/>
      <w:r>
        <w:rPr/>
        <w:t>The recognition benchmark is calibrated so that VRI and VTS are dimensionally comparable for Opportunity Gap analysis. It is not used to determine VTS.</w:t>
      </w:r>
      <w:bookmarkEnd w:id="305"/>
    </w:p>
    <w:p>
      <w:pPr>
        <w:pStyle w:val="Heading2"/>
        <w:keepNext w:val="true"/>
        <w:keepLines/>
        <w:widowControl/>
        <w:rPr/>
      </w:pPr>
      <w:bookmarkStart w:id="306" w:name="__RefHeading___Toc8469_528838595"/>
      <w:bookmarkEnd w:id="306"/>
      <w:r>
        <w:rPr/>
        <w:t>18.3 Liquidity-adjusted network valuation</w:t>
      </w:r>
    </w:p>
    <w:p>
      <w:pPr>
        <w:pStyle w:val="Normal"/>
        <w:rPr/>
      </w:pPr>
      <w:r>
        <w:rPr/>
        <w:t>Nominal market capitalisation is discounted when trading depth is weak. The component considers:</w:t>
      </w:r>
    </w:p>
    <w:p>
      <w:pPr>
        <w:pStyle w:val="Compact"/>
        <w:widowControl/>
        <w:numPr>
          <w:ilvl w:val="0"/>
          <w:numId w:val="1120"/>
        </w:numPr>
        <w:rPr/>
      </w:pPr>
      <w:r>
        <w:rPr/>
        <w:t>circulating market capitalisation under a published supply definition;</w:t>
      </w:r>
    </w:p>
    <w:p>
      <w:pPr>
        <w:pStyle w:val="Compact"/>
        <w:widowControl/>
        <w:numPr>
          <w:ilvl w:val="0"/>
          <w:numId w:val="1121"/>
        </w:numPr>
        <w:rPr/>
      </w:pPr>
      <w:r>
        <w:rPr/>
        <w:t>executable spot depth;</w:t>
      </w:r>
    </w:p>
    <w:p>
      <w:pPr>
        <w:pStyle w:val="Compact"/>
        <w:widowControl/>
        <w:numPr>
          <w:ilvl w:val="0"/>
          <w:numId w:val="1122"/>
        </w:numPr>
        <w:rPr/>
      </w:pPr>
      <w:r>
        <w:rPr/>
        <w:t>derivative liquidity and leverage concentration;</w:t>
      </w:r>
    </w:p>
    <w:p>
      <w:pPr>
        <w:pStyle w:val="Compact"/>
        <w:widowControl/>
        <w:numPr>
          <w:ilvl w:val="0"/>
          <w:numId w:val="1123"/>
        </w:numPr>
        <w:rPr/>
      </w:pPr>
      <w:r>
        <w:rPr/>
        <w:t>venue quality and market fragmentation;</w:t>
      </w:r>
    </w:p>
    <w:p>
      <w:pPr>
        <w:pStyle w:val="Compact"/>
        <w:widowControl/>
        <w:numPr>
          <w:ilvl w:val="0"/>
          <w:numId w:val="1124"/>
        </w:numPr>
        <w:rPr/>
      </w:pPr>
      <w:r>
        <w:rPr/>
        <w:t>free float and treasury or insider concentration;</w:t>
      </w:r>
    </w:p>
    <w:p>
      <w:pPr>
        <w:pStyle w:val="Compact"/>
        <w:widowControl/>
        <w:numPr>
          <w:ilvl w:val="0"/>
          <w:numId w:val="1125"/>
        </w:numPr>
        <w:rPr/>
      </w:pPr>
      <w:r>
        <w:rPr/>
        <w:t>price impact of representative trades.</w:t>
      </w:r>
    </w:p>
    <w:p>
      <w:pPr>
        <w:pStyle w:val="Normal"/>
        <w:rPr/>
      </w:pPr>
      <w:bookmarkStart w:id="307" w:name="liquidity-adjusted-network-valuation"/>
      <w:r>
        <w:rPr/>
        <w:t>A thin market cannot convert a high last-traded price into equivalent recognition confidence.</w:t>
      </w:r>
      <w:bookmarkEnd w:id="307"/>
    </w:p>
    <w:p>
      <w:pPr>
        <w:pStyle w:val="Heading2"/>
        <w:keepNext w:val="true"/>
        <w:keepLines/>
        <w:widowControl/>
        <w:rPr/>
      </w:pPr>
      <w:bookmarkStart w:id="308" w:name="__RefHeading___Toc8471_528838595"/>
      <w:bookmarkEnd w:id="308"/>
      <w:r>
        <w:rPr/>
        <w:t>18.4 Fundamental valuation recognition</w:t>
      </w:r>
    </w:p>
    <w:p>
      <w:pPr>
        <w:pStyle w:val="Normal"/>
        <w:rPr/>
      </w:pPr>
      <w:r>
        <w:rPr/>
        <w:t>This component examines whether markets assign value relative to measurable output. It may use robust, sector-aware ratios such as:</w:t>
      </w:r>
    </w:p>
    <w:p>
      <w:pPr>
        <w:pStyle w:val="Compact"/>
        <w:widowControl/>
        <w:numPr>
          <w:ilvl w:val="0"/>
          <w:numId w:val="1126"/>
        </w:numPr>
        <w:rPr/>
      </w:pPr>
      <w:r>
        <w:rPr/>
        <w:t>market value to annualised protocol revenue;</w:t>
      </w:r>
    </w:p>
    <w:p>
      <w:pPr>
        <w:pStyle w:val="Compact"/>
        <w:widowControl/>
        <w:numPr>
          <w:ilvl w:val="0"/>
          <w:numId w:val="1127"/>
        </w:numPr>
        <w:rPr/>
      </w:pPr>
      <w:r>
        <w:rPr/>
        <w:t>market value to adjusted fees;</w:t>
      </w:r>
    </w:p>
    <w:p>
      <w:pPr>
        <w:pStyle w:val="Compact"/>
        <w:widowControl/>
        <w:numPr>
          <w:ilvl w:val="0"/>
          <w:numId w:val="1128"/>
        </w:numPr>
        <w:rPr/>
      </w:pPr>
      <w:r>
        <w:rPr/>
        <w:t>market value to settled economic value;</w:t>
      </w:r>
    </w:p>
    <w:p>
      <w:pPr>
        <w:pStyle w:val="Compact"/>
        <w:widowControl/>
        <w:numPr>
          <w:ilvl w:val="0"/>
          <w:numId w:val="1129"/>
        </w:numPr>
        <w:rPr/>
      </w:pPr>
      <w:r>
        <w:rPr/>
        <w:t>market value to active economic entities;</w:t>
      </w:r>
    </w:p>
    <w:p>
      <w:pPr>
        <w:pStyle w:val="Compact"/>
        <w:widowControl/>
        <w:numPr>
          <w:ilvl w:val="0"/>
          <w:numId w:val="1130"/>
        </w:numPr>
        <w:rPr/>
      </w:pPr>
      <w:r>
        <w:rPr/>
        <w:t>market value to security-budget sustainability;</w:t>
      </w:r>
    </w:p>
    <w:p>
      <w:pPr>
        <w:pStyle w:val="Compact"/>
        <w:widowControl/>
        <w:numPr>
          <w:ilvl w:val="0"/>
          <w:numId w:val="1131"/>
        </w:numPr>
        <w:rPr/>
      </w:pPr>
      <w:r>
        <w:rPr/>
        <w:t>market value to treasury and net value capture.</w:t>
      </w:r>
    </w:p>
    <w:p>
      <w:pPr>
        <w:pStyle w:val="Normal"/>
        <w:rPr/>
      </w:pPr>
      <w:bookmarkStart w:id="309" w:name="fundamental-valuation-recognition"/>
      <w:r>
        <w:rPr/>
        <w:t>No single ratio is universal. The registry defines appropriate ratio families and avoids double counting. Ratio values are winsorised and log-transformed.</w:t>
      </w:r>
      <w:bookmarkEnd w:id="309"/>
    </w:p>
    <w:p>
      <w:pPr>
        <w:pStyle w:val="Heading2"/>
        <w:keepNext w:val="true"/>
        <w:keepLines/>
        <w:widowControl/>
        <w:rPr/>
      </w:pPr>
      <w:bookmarkStart w:id="310" w:name="__RefHeading___Toc8473_528838595"/>
      <w:bookmarkEnd w:id="310"/>
      <w:r>
        <w:rPr/>
        <w:t>18.5 Token supply and dilution quality</w:t>
      </w:r>
    </w:p>
    <w:p>
      <w:pPr>
        <w:pStyle w:val="Normal"/>
        <w:rPr/>
      </w:pPr>
      <w:r>
        <w:rPr/>
        <w:t>Market recognition is less reliable when supply definitions are opaque or future dilution is extreme. The component considers:</w:t>
      </w:r>
    </w:p>
    <w:p>
      <w:pPr>
        <w:pStyle w:val="Compact"/>
        <w:widowControl/>
        <w:numPr>
          <w:ilvl w:val="0"/>
          <w:numId w:val="1132"/>
        </w:numPr>
        <w:rPr/>
      </w:pPr>
      <w:r>
        <w:rPr/>
        <w:t>verified circulating supply;</w:t>
      </w:r>
    </w:p>
    <w:p>
      <w:pPr>
        <w:pStyle w:val="Compact"/>
        <w:widowControl/>
        <w:numPr>
          <w:ilvl w:val="0"/>
          <w:numId w:val="1133"/>
        </w:numPr>
        <w:rPr/>
      </w:pPr>
      <w:r>
        <w:rPr/>
        <w:t>insider, foundation and treasury concentration;</w:t>
      </w:r>
    </w:p>
    <w:p>
      <w:pPr>
        <w:pStyle w:val="Compact"/>
        <w:widowControl/>
        <w:numPr>
          <w:ilvl w:val="0"/>
          <w:numId w:val="1134"/>
        </w:numPr>
        <w:rPr/>
      </w:pPr>
      <w:r>
        <w:rPr/>
        <w:t>vesting schedule and unlock concentration;</w:t>
      </w:r>
    </w:p>
    <w:p>
      <w:pPr>
        <w:pStyle w:val="Compact"/>
        <w:widowControl/>
        <w:numPr>
          <w:ilvl w:val="0"/>
          <w:numId w:val="1135"/>
        </w:numPr>
        <w:rPr/>
      </w:pPr>
      <w:r>
        <w:rPr/>
        <w:t>net issuance and inflation;</w:t>
      </w:r>
    </w:p>
    <w:p>
      <w:pPr>
        <w:pStyle w:val="Compact"/>
        <w:widowControl/>
        <w:numPr>
          <w:ilvl w:val="0"/>
          <w:numId w:val="1136"/>
        </w:numPr>
        <w:rPr/>
      </w:pPr>
      <w:r>
        <w:rPr/>
        <w:t>staking lock-up and liquid-staking treatment;</w:t>
      </w:r>
    </w:p>
    <w:p>
      <w:pPr>
        <w:pStyle w:val="Compact"/>
        <w:widowControl/>
        <w:numPr>
          <w:ilvl w:val="0"/>
          <w:numId w:val="1137"/>
        </w:numPr>
        <w:rPr/>
      </w:pPr>
      <w:r>
        <w:rPr/>
        <w:t>bridge, wrapped and duplicated supply;</w:t>
      </w:r>
    </w:p>
    <w:p>
      <w:pPr>
        <w:pStyle w:val="Compact"/>
        <w:widowControl/>
        <w:numPr>
          <w:ilvl w:val="0"/>
          <w:numId w:val="1138"/>
        </w:numPr>
        <w:rPr/>
      </w:pPr>
      <w:r>
        <w:rPr/>
        <w:t>burn and buyback credibility;</w:t>
      </w:r>
    </w:p>
    <w:p>
      <w:pPr>
        <w:pStyle w:val="Compact"/>
        <w:widowControl/>
        <w:numPr>
          <w:ilvl w:val="0"/>
          <w:numId w:val="1139"/>
        </w:numPr>
        <w:rPr/>
      </w:pPr>
      <w:bookmarkStart w:id="311" w:name="token-supply-and-dilution-quality"/>
      <w:r>
        <w:rPr/>
        <w:t>governance discretion over supply.</w:t>
      </w:r>
      <w:bookmarkEnd w:id="311"/>
    </w:p>
    <w:p>
      <w:pPr>
        <w:pStyle w:val="Heading2"/>
        <w:keepNext w:val="true"/>
        <w:keepLines/>
        <w:widowControl/>
        <w:rPr/>
      </w:pPr>
      <w:bookmarkStart w:id="312" w:name="__RefHeading___Toc8475_528838595"/>
      <w:bookmarkEnd w:id="312"/>
      <w:r>
        <w:rPr/>
        <w:t>18.6 Market breadth and accessibility</w:t>
      </w:r>
    </w:p>
    <w:p>
      <w:pPr>
        <w:pStyle w:val="Normal"/>
        <w:rPr/>
      </w:pPr>
      <w:bookmarkStart w:id="313" w:name="market-breadth-and-accessibility"/>
      <w:r>
        <w:rPr/>
        <w:t>Recognition is stronger when price discovery is distributed across credible venues, jurisdictions and participant types. The component measures market concentration, custody accessibility, settlement quality and dependence on one exchange or market maker.</w:t>
      </w:r>
      <w:bookmarkEnd w:id="313"/>
    </w:p>
    <w:p>
      <w:pPr>
        <w:pStyle w:val="Heading2"/>
        <w:keepNext w:val="true"/>
        <w:keepLines/>
        <w:widowControl/>
        <w:rPr/>
      </w:pPr>
      <w:bookmarkStart w:id="314" w:name="__RefHeading___Toc8477_528838595"/>
      <w:bookmarkEnd w:id="314"/>
      <w:r>
        <w:rPr/>
        <w:t>18.7 Recognition persistence</w:t>
      </w:r>
    </w:p>
    <w:p>
      <w:pPr>
        <w:pStyle w:val="Normal"/>
        <w:rPr/>
      </w:pPr>
      <w:bookmarkStart w:id="315" w:name="recognition-persistence"/>
      <w:r>
        <w:rPr/>
        <w:t>Short-lived price spikes are smoothed. The component compares 30-, 90- and 365-day recognition with volatility, liquidity and fundamental change. A speculative increase unsupported by VTS does not automatically receive full persistent recognition.</w:t>
      </w:r>
      <w:bookmarkEnd w:id="315"/>
    </w:p>
    <w:p>
      <w:pPr>
        <w:pStyle w:val="Heading2"/>
        <w:keepNext w:val="true"/>
        <w:keepLines/>
        <w:widowControl/>
        <w:rPr/>
      </w:pPr>
      <w:bookmarkStart w:id="316" w:name="__RefHeading___Toc8479_528838595"/>
      <w:bookmarkStart w:id="317" w:name="interpretation-7"/>
      <w:bookmarkEnd w:id="316"/>
      <w:r>
        <w:rPr/>
        <w:t>18.8 Interpretation</w:t>
      </w:r>
    </w:p>
    <w:p>
      <w:pPr>
        <w:pStyle w:val="Normal"/>
        <w:rPr/>
      </w:pPr>
      <w:r>
        <w:rPr/>
        <w:t xml:space="preserve">VRI answers: </w:t>
      </w:r>
      <w:r>
        <w:rPr>
          <w:b/>
          <w:bCs/>
        </w:rPr>
        <w:t>How much recognition has the market assigned, and how credible is that recognition?</w:t>
      </w:r>
      <w:r>
        <w:rPr/>
        <w:t xml:space="preserve"> It does not answer whether the market is correct. That comparison is made by the Opportunity Gap.</w:t>
      </w:r>
      <w:bookmarkEnd w:id="301"/>
      <w:bookmarkEnd w:id="317"/>
    </w:p>
    <w:p>
      <w:pPr>
        <w:pStyle w:val="Heading1"/>
        <w:keepNext w:val="true"/>
        <w:keepLines/>
        <w:widowControl/>
        <w:pBdr>
          <w:bottom w:val="single" w:sz="6" w:space="5" w:color="8AB2BF"/>
        </w:pBdr>
        <w:jc w:val="left"/>
        <w:rPr/>
      </w:pPr>
      <w:bookmarkStart w:id="318" w:name="__RefHeading___Toc8481_528838595"/>
      <w:bookmarkEnd w:id="318"/>
      <w:r>
        <w:rPr/>
        <w:t>19. Opportunity Gap</w:t>
      </w:r>
    </w:p>
    <w:p>
      <w:pPr>
        <w:pStyle w:val="Heading2"/>
        <w:keepNext w:val="true"/>
        <w:keepLines/>
        <w:widowControl/>
        <w:rPr/>
      </w:pPr>
      <w:bookmarkStart w:id="319" w:name="__RefHeading___Toc8483_528838595"/>
      <w:bookmarkEnd w:id="319"/>
      <w:r>
        <w:rPr/>
        <w:t>19.1 Definition</w:t>
      </w:r>
    </w:p>
    <w:p>
      <w:pPr>
        <w:pStyle w:val="Normal"/>
        <w:rPr/>
      </w:pPr>
      <w:r>
        <w:rPr/>
        <w:t>The Opportunity Gap compares standardised intrinsic measurement with standardised market recognition:</w:t>
      </w:r>
    </w:p>
    <w:p>
      <w:pPr>
        <w:pStyle w:val="BodyText"/>
        <w:keepLines/>
        <w:spacing w:before="80" w:after="160"/>
        <w:jc w:val="center"/>
        <w:rPr/>
      </w:pPr>
      <w:r>
        <w:rPr/>
        <w:drawing>
          <wp:inline distT="0" distB="0" distL="0" distR="0">
            <wp:extent cx="3144520" cy="303530"/>
            <wp:effectExtent l="0" t="0" r="0" b="0"/>
            <wp:docPr id="32" name="Picture 32" descr="Equation&#10;\mathrm{Opportunity\ Gap}=VTS-V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Equation&#10;\mathrm{Opportunity\ Gap}=VTS-VRI"/>
                    <pic:cNvPicPr>
                      <a:picLocks noChangeAspect="1" noChangeArrowheads="1"/>
                    </pic:cNvPicPr>
                  </pic:nvPicPr>
                  <pic:blipFill>
                    <a:blip r:embed="rId33"/>
                    <a:stretch>
                      <a:fillRect/>
                    </a:stretch>
                  </pic:blipFill>
                  <pic:spPr bwMode="auto">
                    <a:xfrm>
                      <a:off x="0" y="0"/>
                      <a:ext cx="3144520" cy="303530"/>
                    </a:xfrm>
                    <a:prstGeom prst="rect">
                      <a:avLst/>
                    </a:prstGeom>
                    <a:noFill/>
                  </pic:spPr>
                </pic:pic>
              </a:graphicData>
            </a:graphic>
          </wp:inline>
        </w:drawing>
      </w:r>
    </w:p>
    <w:p>
      <w:pPr>
        <w:pStyle w:val="Heading2"/>
        <w:keepNext w:val="true"/>
        <w:keepLines/>
        <w:widowControl/>
        <w:rPr/>
      </w:pPr>
      <w:bookmarkStart w:id="320" w:name="__RefHeading___Toc8485_528838595"/>
      <w:bookmarkEnd w:id="320"/>
      <w:r>
        <w:rPr/>
        <w:t>19.2 Interpretation</w:t>
      </w:r>
    </w:p>
    <w:p>
      <w:pPr>
        <w:pStyle w:val="Compact"/>
        <w:widowControl/>
        <w:numPr>
          <w:ilvl w:val="0"/>
          <w:numId w:val="1140"/>
        </w:numPr>
        <w:rPr/>
      </w:pPr>
      <w:r>
        <w:rPr>
          <w:b/>
          <w:bCs/>
        </w:rPr>
        <w:t>Positive gap</w:t>
      </w:r>
      <w:r>
        <w:rPr/>
        <w:t xml:space="preserve"> — measured fundamentals exceed market recognition.</w:t>
      </w:r>
    </w:p>
    <w:p>
      <w:pPr>
        <w:pStyle w:val="Compact"/>
        <w:widowControl/>
        <w:numPr>
          <w:ilvl w:val="0"/>
          <w:numId w:val="1141"/>
        </w:numPr>
        <w:rPr/>
      </w:pPr>
      <w:r>
        <w:rPr>
          <w:b/>
          <w:bCs/>
        </w:rPr>
        <w:t>Near-zero gap</w:t>
      </w:r>
      <w:r>
        <w:rPr/>
        <w:t xml:space="preserve"> — recognition is broadly aligned with the framework’s intrinsic measurement.</w:t>
      </w:r>
    </w:p>
    <w:p>
      <w:pPr>
        <w:pStyle w:val="Compact"/>
        <w:widowControl/>
        <w:numPr>
          <w:ilvl w:val="0"/>
          <w:numId w:val="1142"/>
        </w:numPr>
        <w:rPr/>
      </w:pPr>
      <w:r>
        <w:rPr>
          <w:b/>
          <w:bCs/>
        </w:rPr>
        <w:t>Negative gap</w:t>
      </w:r>
      <w:r>
        <w:rPr/>
        <w:t xml:space="preserve"> — market recognition exceeds measured fundamentals.</w:t>
      </w:r>
    </w:p>
    <w:p>
      <w:pPr>
        <w:pStyle w:val="Normal"/>
        <w:rPr/>
      </w:pPr>
      <w:bookmarkStart w:id="321" w:name="interpretation-8"/>
      <w:r>
        <w:rPr/>
        <w:t>The Opportunity Gap is a research signal, not a guaranteed trading opportunity. A positive gap may persist because of legal uncertainty, token-design weakness, inaccessible markets, governance risk or incomplete value capture. A negative gap may reflect rational expectations of future growth not yet visible in historical data.</w:t>
      </w:r>
      <w:bookmarkEnd w:id="321"/>
    </w:p>
    <w:p>
      <w:pPr>
        <w:pStyle w:val="Heading2"/>
        <w:keepNext w:val="true"/>
        <w:keepLines/>
        <w:widowControl/>
        <w:rPr/>
      </w:pPr>
      <w:bookmarkStart w:id="322" w:name="__RefHeading___Toc8487_528838595"/>
      <w:bookmarkEnd w:id="322"/>
      <w:r>
        <w:rPr/>
        <w:t>19.3 Relative gap</w:t>
      </w:r>
    </w:p>
    <w:p>
      <w:pPr>
        <w:pStyle w:val="Normal"/>
        <w:rPr/>
      </w:pPr>
      <w:r>
        <w:rPr/>
        <w:t>For comparisons where scale matters, the framework may publish:</w:t>
      </w:r>
    </w:p>
    <w:p>
      <w:pPr>
        <w:pStyle w:val="BodyText"/>
        <w:keepLines/>
        <w:spacing w:before="80" w:after="160"/>
        <w:jc w:val="center"/>
        <w:rPr/>
      </w:pPr>
      <w:r>
        <w:rPr/>
        <w:drawing>
          <wp:inline distT="0" distB="0" distL="0" distR="0">
            <wp:extent cx="2522855" cy="461010"/>
            <wp:effectExtent l="0" t="0" r="0" b="0"/>
            <wp:docPr id="33" name="Picture 33" descr="Equation&#10;\mathrm{Relative\ Gap}=\frac{VTS-VRI}{\max(VTS,\varepsi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Equation&#10;\mathrm{Relative\ Gap}=\frac{VTS-VRI}{\max(VTS,\varepsilon)}"/>
                    <pic:cNvPicPr>
                      <a:picLocks noChangeAspect="1" noChangeArrowheads="1"/>
                    </pic:cNvPicPr>
                  </pic:nvPicPr>
                  <pic:blipFill>
                    <a:blip r:embed="rId34"/>
                    <a:stretch>
                      <a:fillRect/>
                    </a:stretch>
                  </pic:blipFill>
                  <pic:spPr bwMode="auto">
                    <a:xfrm>
                      <a:off x="0" y="0"/>
                      <a:ext cx="2522855" cy="461010"/>
                    </a:xfrm>
                    <a:prstGeom prst="rect">
                      <a:avLst/>
                    </a:prstGeom>
                    <a:noFill/>
                  </pic:spPr>
                </pic:pic>
              </a:graphicData>
            </a:graphic>
          </wp:inline>
        </w:drawing>
      </w:r>
    </w:p>
    <w:p>
      <w:pPr>
        <w:pStyle w:val="Normal"/>
        <w:rPr/>
      </w:pPr>
      <w:r>
        <w:rPr/>
        <w:t>where ε prevents division by zero. The absolute gap remains the constitutional headline measure.</w:t>
      </w:r>
    </w:p>
    <w:p>
      <w:pPr>
        <w:pStyle w:val="Heading2"/>
        <w:keepNext w:val="true"/>
        <w:keepLines/>
        <w:widowControl/>
        <w:rPr/>
      </w:pPr>
      <w:bookmarkStart w:id="323" w:name="__RefHeading___Toc8489_528838595"/>
      <w:bookmarkEnd w:id="323"/>
      <w:r>
        <w:rPr/>
        <w:t>19.4 Gap attribution</w:t>
      </w:r>
    </w:p>
    <w:p>
      <w:pPr>
        <w:pStyle w:val="Normal"/>
        <w:rPr/>
      </w:pPr>
      <w:r>
        <w:rPr/>
        <w:t>Every published Opportunity Gap includes attribution showing which factors drive the difference. Typical drivers include:</w:t>
      </w:r>
    </w:p>
    <w:p>
      <w:pPr>
        <w:pStyle w:val="Compact"/>
        <w:widowControl/>
        <w:numPr>
          <w:ilvl w:val="0"/>
          <w:numId w:val="1143"/>
        </w:numPr>
        <w:rPr/>
      </w:pPr>
      <w:r>
        <w:rPr/>
        <w:t>high PoV with weak market accessibility;</w:t>
      </w:r>
    </w:p>
    <w:p>
      <w:pPr>
        <w:pStyle w:val="Compact"/>
        <w:widowControl/>
        <w:numPr>
          <w:ilvl w:val="0"/>
          <w:numId w:val="1144"/>
        </w:numPr>
        <w:rPr/>
      </w:pPr>
      <w:r>
        <w:rPr/>
        <w:t>strong RWAI not captured by token economics;</w:t>
      </w:r>
    </w:p>
    <w:p>
      <w:pPr>
        <w:pStyle w:val="Compact"/>
        <w:widowControl/>
        <w:numPr>
          <w:ilvl w:val="0"/>
          <w:numId w:val="1145"/>
        </w:numPr>
        <w:rPr/>
      </w:pPr>
      <w:r>
        <w:rPr/>
        <w:t>high recognition but weak ERI;</w:t>
      </w:r>
    </w:p>
    <w:p>
      <w:pPr>
        <w:pStyle w:val="Compact"/>
        <w:widowControl/>
        <w:numPr>
          <w:ilvl w:val="0"/>
          <w:numId w:val="1146"/>
        </w:numPr>
        <w:rPr/>
      </w:pPr>
      <w:r>
        <w:rPr/>
        <w:t>strong market narrative with low value capture;</w:t>
      </w:r>
    </w:p>
    <w:p>
      <w:pPr>
        <w:pStyle w:val="Compact"/>
        <w:widowControl/>
        <w:numPr>
          <w:ilvl w:val="0"/>
          <w:numId w:val="1147"/>
        </w:numPr>
        <w:rPr/>
      </w:pPr>
      <w:r>
        <w:rPr/>
        <w:t>large future dilution;</w:t>
      </w:r>
    </w:p>
    <w:p>
      <w:pPr>
        <w:pStyle w:val="Compact"/>
        <w:widowControl/>
        <w:numPr>
          <w:ilvl w:val="0"/>
          <w:numId w:val="1148"/>
        </w:numPr>
        <w:rPr/>
      </w:pPr>
      <w:bookmarkStart w:id="324" w:name="gap-attribution"/>
      <w:r>
        <w:rPr/>
        <w:t>low confidence in one or more intrinsic indices.</w:t>
      </w:r>
      <w:bookmarkEnd w:id="324"/>
    </w:p>
    <w:p>
      <w:pPr>
        <w:pStyle w:val="Heading2"/>
        <w:keepNext w:val="true"/>
        <w:keepLines/>
        <w:widowControl/>
        <w:rPr/>
      </w:pPr>
      <w:bookmarkStart w:id="325" w:name="__RefHeading___Toc8491_528838595"/>
      <w:bookmarkEnd w:id="325"/>
      <w:r>
        <w:rPr/>
        <w:t>19.5 Confidence-adjusted use</w:t>
      </w:r>
    </w:p>
    <w:p>
      <w:pPr>
        <w:pStyle w:val="Normal"/>
        <w:rPr/>
      </w:pPr>
      <w:r>
        <w:rPr/>
        <w:t>Opportunity Gap should be interpreted jointly with VRS and VCS. A large positive gap with low VCS is an unresolved research question, not a high-conviction conclusion. A positive gap with high VRS may represent a genuine risk premium.</w:t>
      </w:r>
    </w:p>
    <w:p>
      <w:pPr>
        <w:pStyle w:val="BodyText"/>
        <w:widowControl/>
        <w:rPr/>
      </w:pPr>
      <w:r>
        <w:rPr/>
        <w:t>A diagnostic confidence-adjusted gap may be shown as:</w:t>
      </w:r>
    </w:p>
    <w:p>
      <w:pPr>
        <w:pStyle w:val="BodyText"/>
        <w:keepLines/>
        <w:spacing w:before="80" w:after="160"/>
        <w:jc w:val="center"/>
        <w:rPr/>
      </w:pPr>
      <w:r>
        <w:rPr/>
        <w:drawing>
          <wp:inline distT="0" distB="0" distL="0" distR="0">
            <wp:extent cx="3768725" cy="429895"/>
            <wp:effectExtent l="0" t="0" r="0" b="0"/>
            <wp:docPr id="34" name="Picture 34" descr="Equation&#10;\mathrm{Gap}_{\mathrm{adj}}=(VTS-VRI)\left(\frac{VCS}{100}\right)\left(1-\frac{VRS}{100}\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Equation&#10;\mathrm{Gap}_{\mathrm{adj}}=(VTS-VRI)\left(\frac{VCS}{100}\right)\left(1-\frac{VRS}{100}\right)"/>
                    <pic:cNvPicPr>
                      <a:picLocks noChangeAspect="1" noChangeArrowheads="1"/>
                    </pic:cNvPicPr>
                  </pic:nvPicPr>
                  <pic:blipFill>
                    <a:blip r:embed="rId35"/>
                    <a:stretch>
                      <a:fillRect/>
                    </a:stretch>
                  </pic:blipFill>
                  <pic:spPr bwMode="auto">
                    <a:xfrm>
                      <a:off x="0" y="0"/>
                      <a:ext cx="3768725" cy="429895"/>
                    </a:xfrm>
                    <a:prstGeom prst="rect">
                      <a:avLst/>
                    </a:prstGeom>
                    <a:noFill/>
                  </pic:spPr>
                </pic:pic>
              </a:graphicData>
            </a:graphic>
          </wp:inline>
        </w:drawing>
      </w:r>
    </w:p>
    <w:p>
      <w:pPr>
        <w:pStyle w:val="Normal"/>
        <w:rPr/>
      </w:pPr>
      <w:bookmarkStart w:id="326" w:name="confidence-adjusted-use"/>
      <w:bookmarkStart w:id="327" w:name="opportunity-gap"/>
      <w:r>
        <w:rPr/>
        <w:t>This diagnostic is not part of the constitutional headline outputs and must be labelled accordingly.</w:t>
      </w:r>
      <w:bookmarkEnd w:id="326"/>
      <w:bookmarkEnd w:id="327"/>
    </w:p>
    <w:p>
      <w:pPr>
        <w:pStyle w:val="Heading1"/>
        <w:keepNext w:val="true"/>
        <w:keepLines/>
        <w:widowControl/>
        <w:pBdr>
          <w:bottom w:val="single" w:sz="6" w:space="5" w:color="8AB2BF"/>
        </w:pBdr>
        <w:jc w:val="left"/>
        <w:rPr/>
      </w:pPr>
      <w:bookmarkStart w:id="328" w:name="__RefHeading___Toc8493_528838595"/>
      <w:bookmarkEnd w:id="328"/>
      <w:r>
        <w:rPr/>
        <w:t>20. VOX Risk Score (VRS)</w:t>
      </w:r>
    </w:p>
    <w:p>
      <w:pPr>
        <w:pStyle w:val="Heading2"/>
        <w:keepNext w:val="true"/>
        <w:keepLines/>
        <w:widowControl/>
        <w:rPr/>
      </w:pPr>
      <w:bookmarkStart w:id="329" w:name="__RefHeading___Toc8495_528838595"/>
      <w:bookmarkEnd w:id="329"/>
      <w:r>
        <w:rPr/>
        <w:t>20.1 Purpose</w:t>
      </w:r>
    </w:p>
    <w:p>
      <w:pPr>
        <w:pStyle w:val="Normal"/>
        <w:rPr/>
      </w:pPr>
      <w:bookmarkStart w:id="330" w:name="purpose-9"/>
      <w:r>
        <w:rPr/>
        <w:t>VRS summarises structural risks that may not be fully visible in VTS. Higher VRS means greater aggregate risk. It does not predict the probability or magnitude of every future loss.</w:t>
      </w:r>
      <w:bookmarkEnd w:id="330"/>
    </w:p>
    <w:p>
      <w:pPr>
        <w:pStyle w:val="Heading2"/>
        <w:keepNext w:val="true"/>
        <w:keepLines/>
        <w:widowControl/>
        <w:rPr/>
      </w:pPr>
      <w:bookmarkStart w:id="331" w:name="__RefHeading___Toc8497_528838595"/>
      <w:bookmarkEnd w:id="331"/>
      <w:r>
        <w:rPr/>
        <w:t>20.2 VRS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Risk domain</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Examples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and cybersecurity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flaws, smart-contract exposure, key compromise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control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Capture, emergency powers, opaque upgrades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and token-design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Dilution, weak value capture, incentive dependence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and market-structure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Thin depth, leverage, concentration, de-peg exposure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Dependency and interoperability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Bridges, oracles, sequencers, data availability, external issuers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Legal, regulatory and operational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Jurisdiction, custody, compliance, operational concentration</w:t>
            </w:r>
          </w:p>
        </w:tc>
      </w:tr>
    </w:tbl>
    <w:p>
      <w:pPr>
        <w:pStyle w:val="BodyText"/>
        <w:keepLines/>
        <w:spacing w:before="80" w:after="160"/>
        <w:jc w:val="center"/>
        <w:rPr/>
      </w:pPr>
      <w:r>
        <w:rPr/>
        <w:drawing>
          <wp:inline distT="0" distB="0" distL="0" distR="0">
            <wp:extent cx="5623560" cy="240665"/>
            <wp:effectExtent l="0" t="0" r="0" b="0"/>
            <wp:docPr id="35" name="Picture 35" descr="Equation&#10;VRS=0.20PR+0.15GR+0.20ER+0.15LR+0.15DR+0.15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Equation&#10;VRS=0.20PR+0.15GR+0.20ER+0.15LR+0.15DR+0.15OR"/>
                    <pic:cNvPicPr>
                      <a:picLocks noChangeAspect="1" noChangeArrowheads="1"/>
                    </pic:cNvPicPr>
                  </pic:nvPicPr>
                  <pic:blipFill>
                    <a:blip r:embed="rId36"/>
                    <a:stretch>
                      <a:fillRect/>
                    </a:stretch>
                  </pic:blipFill>
                  <pic:spPr bwMode="auto">
                    <a:xfrm>
                      <a:off x="0" y="0"/>
                      <a:ext cx="5623560" cy="240665"/>
                    </a:xfrm>
                    <a:prstGeom prst="rect">
                      <a:avLst/>
                    </a:prstGeom>
                    <a:noFill/>
                  </pic:spPr>
                </pic:pic>
              </a:graphicData>
            </a:graphic>
          </wp:inline>
        </w:drawing>
      </w:r>
    </w:p>
    <w:p>
      <w:pPr>
        <w:pStyle w:val="Normal"/>
        <w:rPr/>
      </w:pPr>
      <w:bookmarkStart w:id="332" w:name="vrs-composition"/>
      <w:r>
        <w:rPr/>
        <w:t>Each domain is scored from 0 to 100, where 100 represents the highest risk.</w:t>
      </w:r>
      <w:bookmarkEnd w:id="332"/>
    </w:p>
    <w:p>
      <w:pPr>
        <w:pStyle w:val="Heading2"/>
        <w:keepNext w:val="true"/>
        <w:keepLines/>
        <w:widowControl/>
        <w:rPr/>
      </w:pPr>
      <w:bookmarkStart w:id="333" w:name="__RefHeading___Toc8499_528838595"/>
      <w:bookmarkEnd w:id="333"/>
      <w:r>
        <w:rPr/>
        <w:t>20.3 Protocol and cybersecurity risk</w:t>
      </w:r>
    </w:p>
    <w:p>
      <w:pPr>
        <w:pStyle w:val="Normal"/>
        <w:rPr/>
      </w:pPr>
      <w:bookmarkStart w:id="334" w:name="protocol-and-cybersecurity-risk"/>
      <w:r>
        <w:rPr/>
        <w:t>This domain considers attack surface, code complexity, critical contracts, consensus assumptions, unresolved vulnerabilities, incident history and remediation. It complements PII by converting integrity weaknesses into an explicit risk scale.</w:t>
      </w:r>
      <w:bookmarkEnd w:id="334"/>
    </w:p>
    <w:p>
      <w:pPr>
        <w:pStyle w:val="Heading2"/>
        <w:keepNext w:val="true"/>
        <w:keepLines/>
        <w:widowControl/>
        <w:rPr/>
      </w:pPr>
      <w:bookmarkStart w:id="335" w:name="__RefHeading___Toc8501_528838595"/>
      <w:bookmarkEnd w:id="335"/>
      <w:r>
        <w:rPr/>
        <w:t>20.4 Governance and control risk</w:t>
      </w:r>
    </w:p>
    <w:p>
      <w:pPr>
        <w:pStyle w:val="Normal"/>
        <w:rPr/>
      </w:pPr>
      <w:bookmarkStart w:id="336" w:name="governance-and-control-risk"/>
      <w:r>
        <w:rPr/>
        <w:t>Governance risk includes voting concentration, key-person dependence, privileged contracts, emergency controls, foundation influence, upgrade opacity and the ability to alter economic rules without adequate delay or consent.</w:t>
      </w:r>
      <w:bookmarkEnd w:id="336"/>
    </w:p>
    <w:p>
      <w:pPr>
        <w:pStyle w:val="Heading2"/>
        <w:keepNext w:val="true"/>
        <w:keepLines/>
        <w:widowControl/>
        <w:rPr/>
      </w:pPr>
      <w:bookmarkStart w:id="337" w:name="__RefHeading___Toc8503_528838595"/>
      <w:bookmarkEnd w:id="337"/>
      <w:r>
        <w:rPr/>
        <w:t>20.5 Economic and token-design risk</w:t>
      </w:r>
    </w:p>
    <w:p>
      <w:pPr>
        <w:pStyle w:val="Normal"/>
        <w:rPr/>
      </w:pPr>
      <w:bookmarkStart w:id="338" w:name="economic-and-token-design-risk"/>
      <w:r>
        <w:rPr/>
        <w:t>This domain considers future unlocks, inflation, reflexive collateral, circular incentives, unsustainable yields, treasury concentration, weak value capture and dependence on continued token-price appreciation.</w:t>
      </w:r>
      <w:bookmarkEnd w:id="338"/>
    </w:p>
    <w:p>
      <w:pPr>
        <w:pStyle w:val="Heading2"/>
        <w:keepNext w:val="true"/>
        <w:keepLines/>
        <w:widowControl/>
        <w:rPr/>
      </w:pPr>
      <w:bookmarkStart w:id="339" w:name="__RefHeading___Toc8505_528838595"/>
      <w:bookmarkEnd w:id="339"/>
      <w:r>
        <w:rPr/>
        <w:t>20.6 Liquidity and market-structure risk</w:t>
      </w:r>
    </w:p>
    <w:p>
      <w:pPr>
        <w:pStyle w:val="Normal"/>
        <w:rPr/>
      </w:pPr>
      <w:bookmarkStart w:id="340" w:name="liquidity-and-market-structure-risk"/>
      <w:r>
        <w:rPr/>
        <w:t>This domain incorporates thin depth, leverage, liquidation cascades, fragmented price discovery, stablecoin concentration and market-maker dependence. A network can have a reasonable DLI under normal conditions while retaining significant tail risk.</w:t>
      </w:r>
      <w:bookmarkEnd w:id="340"/>
    </w:p>
    <w:p>
      <w:pPr>
        <w:pStyle w:val="Heading2"/>
        <w:keepNext w:val="true"/>
        <w:keepLines/>
        <w:widowControl/>
        <w:rPr/>
      </w:pPr>
      <w:bookmarkStart w:id="341" w:name="__RefHeading___Toc8507_528838595"/>
      <w:bookmarkEnd w:id="341"/>
      <w:r>
        <w:rPr/>
        <w:t>20.7 Dependency and interoperability risk</w:t>
      </w:r>
    </w:p>
    <w:p>
      <w:pPr>
        <w:pStyle w:val="Normal"/>
        <w:rPr/>
      </w:pPr>
      <w:bookmarkStart w:id="342" w:name="dependency-and-interoperability-risk"/>
      <w:r>
        <w:rPr/>
        <w:t>Dependencies include bridges, messaging layers, oracles, data-availability layers, sequencers, custodians, stablecoin issuers and external governance. The score considers both the number of dependencies and their correlated failure risk.</w:t>
      </w:r>
      <w:bookmarkEnd w:id="342"/>
    </w:p>
    <w:p>
      <w:pPr>
        <w:pStyle w:val="Heading2"/>
        <w:keepNext w:val="true"/>
        <w:keepLines/>
        <w:widowControl/>
        <w:rPr/>
      </w:pPr>
      <w:bookmarkStart w:id="343" w:name="__RefHeading___Toc8509_528838595"/>
      <w:bookmarkEnd w:id="343"/>
      <w:r>
        <w:rPr/>
        <w:t>20.8 Legal, regulatory and operational risk</w:t>
      </w:r>
    </w:p>
    <w:p>
      <w:pPr>
        <w:pStyle w:val="Normal"/>
        <w:rPr/>
      </w:pPr>
      <w:bookmarkStart w:id="344" w:name="legal-regulatory-and-operational-risk"/>
      <w:r>
        <w:rPr/>
        <w:t>This domain includes enforceability, issuer or foundation exposure, sanctions or compliance dependencies, custody structure, geographic concentration, business continuity and uncertainty around asset classification. Legal analysis is jurisdiction-specific and must be updated as law changes.</w:t>
      </w:r>
      <w:bookmarkEnd w:id="344"/>
    </w:p>
    <w:p>
      <w:pPr>
        <w:pStyle w:val="Heading2"/>
        <w:keepNext w:val="true"/>
        <w:keepLines/>
        <w:widowControl/>
        <w:rPr/>
      </w:pPr>
      <w:bookmarkStart w:id="345" w:name="__RefHeading___Toc8511_528838595"/>
      <w:bookmarkEnd w:id="345"/>
      <w:r>
        <w:rPr/>
        <w:t>20.9 Risk bands</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VRS</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Risk band</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0–19</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Low measured structural risk</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20–39</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Moderate-low</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40–59</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Moderate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60–79</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80–100</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Very high</w:t>
            </w:r>
          </w:p>
        </w:tc>
      </w:tr>
    </w:tbl>
    <w:p>
      <w:pPr>
        <w:pStyle w:val="BodyText"/>
        <w:widowControl/>
        <w:rPr/>
      </w:pPr>
      <w:bookmarkStart w:id="346" w:name="risk-bands"/>
      <w:bookmarkStart w:id="347" w:name="vox-risk-score-vrs"/>
      <w:r>
        <w:rPr/>
        <w:t>Risk bands are comparative and model-based. “Low” does not mean risk-free.</w:t>
      </w:r>
      <w:bookmarkEnd w:id="346"/>
      <w:bookmarkEnd w:id="347"/>
    </w:p>
    <w:p>
      <w:pPr>
        <w:pStyle w:val="Heading1"/>
        <w:keepNext w:val="true"/>
        <w:keepLines/>
        <w:widowControl/>
        <w:pBdr>
          <w:bottom w:val="single" w:sz="6" w:space="5" w:color="8AB2BF"/>
        </w:pBdr>
        <w:jc w:val="left"/>
        <w:rPr/>
      </w:pPr>
      <w:bookmarkStart w:id="348" w:name="__RefHeading___Toc8513_528838595"/>
      <w:bookmarkEnd w:id="348"/>
      <w:r>
        <w:rPr/>
        <w:t>21. VOX Confidence Score (VCS)</w:t>
      </w:r>
    </w:p>
    <w:p>
      <w:pPr>
        <w:pStyle w:val="Heading2"/>
        <w:keepNext w:val="true"/>
        <w:keepLines/>
        <w:widowControl/>
        <w:rPr/>
      </w:pPr>
      <w:bookmarkStart w:id="349" w:name="__RefHeading___Toc8515_528838595"/>
      <w:bookmarkEnd w:id="349"/>
      <w:r>
        <w:rPr/>
        <w:t>21.1 Purpose</w:t>
      </w:r>
    </w:p>
    <w:p>
      <w:pPr>
        <w:pStyle w:val="Normal"/>
        <w:rPr/>
      </w:pPr>
      <w:bookmarkStart w:id="350" w:name="purpose-10"/>
      <w:r>
        <w:rPr/>
        <w:t>VCS measures confidence in the evidence, adapter and calculation. It prevents precision from being confused with certainty.</w:t>
      </w:r>
      <w:bookmarkEnd w:id="350"/>
    </w:p>
    <w:p>
      <w:pPr>
        <w:pStyle w:val="Heading2"/>
        <w:keepNext w:val="true"/>
        <w:keepLines/>
        <w:widowControl/>
        <w:rPr/>
      </w:pPr>
      <w:bookmarkStart w:id="351" w:name="__RefHeading___Toc8517_528838595"/>
      <w:bookmarkEnd w:id="351"/>
      <w:r>
        <w:rPr/>
        <w:t>21.2 VCS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Confidence domain</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Evidence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coverage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Share of approved metric weight observed</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 quality and independence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data, independent corroboration, public access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Adapter validation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Tests, reproducibility, certification and maintenance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Freshness and historical depth</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Timeliness and sufficient history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Cross-source consistency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Reconciliation and variance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Model stability and dispute status</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Sensitivity, unresolved flags and revision risk</w:t>
            </w:r>
          </w:p>
        </w:tc>
      </w:tr>
    </w:tbl>
    <w:p>
      <w:pPr>
        <w:pStyle w:val="BodyText"/>
        <w:keepLines/>
        <w:spacing w:before="80" w:after="160"/>
        <w:jc w:val="center"/>
        <w:rPr/>
      </w:pPr>
      <w:r>
        <w:rPr/>
        <w:drawing>
          <wp:inline distT="0" distB="0" distL="0" distR="0">
            <wp:extent cx="5623560" cy="245745"/>
            <wp:effectExtent l="0" t="0" r="0" b="0"/>
            <wp:docPr id="36" name="Picture 36" descr="Equation&#10;VCS=0.25DC+0.20SQ+0.20AV+0.15FH+0.10CC+0.10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Equation&#10;VCS=0.25DC+0.20SQ+0.20AV+0.15FH+0.10CC+0.10MS"/>
                    <pic:cNvPicPr>
                      <a:picLocks noChangeAspect="1" noChangeArrowheads="1"/>
                    </pic:cNvPicPr>
                  </pic:nvPicPr>
                  <pic:blipFill>
                    <a:blip r:embed="rId37"/>
                    <a:stretch>
                      <a:fillRect/>
                    </a:stretch>
                  </pic:blipFill>
                  <pic:spPr bwMode="auto">
                    <a:xfrm>
                      <a:off x="0" y="0"/>
                      <a:ext cx="5623560" cy="245745"/>
                    </a:xfrm>
                    <a:prstGeom prst="rect">
                      <a:avLst/>
                    </a:prstGeom>
                    <a:noFill/>
                  </pic:spPr>
                </pic:pic>
              </a:graphicData>
            </a:graphic>
          </wp:inline>
        </w:drawing>
      </w:r>
    </w:p>
    <w:p>
      <w:pPr>
        <w:pStyle w:val="Heading2"/>
        <w:keepNext w:val="true"/>
        <w:keepLines/>
        <w:widowControl/>
        <w:rPr/>
      </w:pPr>
      <w:bookmarkStart w:id="352" w:name="__RefHeading___Toc8519_528838595"/>
      <w:bookmarkEnd w:id="352"/>
      <w:r>
        <w:rPr/>
        <w:t>21.3 Data coverage</w:t>
      </w:r>
    </w:p>
    <w:p>
      <w:pPr>
        <w:pStyle w:val="Normal"/>
        <w:rPr/>
      </w:pPr>
      <w:bookmarkStart w:id="353" w:name="data-coverage"/>
      <w:r>
        <w:rPr/>
        <w:t>Coverage is calculated from approved metric weights, not the count of populated fields. Missing a 20% sub-index matters more than missing a low-weight diagnostic field.</w:t>
      </w:r>
      <w:bookmarkEnd w:id="353"/>
    </w:p>
    <w:p>
      <w:pPr>
        <w:pStyle w:val="Heading2"/>
        <w:keepNext w:val="true"/>
        <w:keepLines/>
        <w:widowControl/>
        <w:rPr/>
      </w:pPr>
      <w:bookmarkStart w:id="354" w:name="__RefHeading___Toc8521_528838595"/>
      <w:bookmarkEnd w:id="354"/>
      <w:r>
        <w:rPr/>
        <w:t>21.4 Source quality and independence</w:t>
      </w:r>
    </w:p>
    <w:p>
      <w:pPr>
        <w:pStyle w:val="Normal"/>
        <w:rPr/>
      </w:pPr>
      <w:bookmarkStart w:id="355" w:name="source-quality-and-independence"/>
      <w:r>
        <w:rPr/>
        <w:t>Source quality ranks evidence by verifiability, public accessibility, reproducibility, independence and revision transparency. A direct, reproducible chain query scores more highly than an opaque proprietary estimate.</w:t>
      </w:r>
      <w:bookmarkEnd w:id="355"/>
    </w:p>
    <w:p>
      <w:pPr>
        <w:pStyle w:val="Heading2"/>
        <w:keepNext w:val="true"/>
        <w:keepLines/>
        <w:widowControl/>
        <w:rPr/>
      </w:pPr>
      <w:bookmarkStart w:id="356" w:name="__RefHeading___Toc8523_528838595"/>
      <w:bookmarkEnd w:id="356"/>
      <w:r>
        <w:rPr/>
        <w:t>21.5 Adapter validation</w:t>
      </w:r>
    </w:p>
    <w:p>
      <w:pPr>
        <w:pStyle w:val="Normal"/>
        <w:rPr/>
      </w:pPr>
      <w:bookmarkStart w:id="357" w:name="adapter-validation"/>
      <w:r>
        <w:rPr/>
        <w:t>Adapter confidence includes unit tests, fixture tests, historical regression, peer review, reproducible builds, maintainer activity and monitoring. A certified adapter can lose confidence if dependencies become stale or tests fail.</w:t>
      </w:r>
      <w:bookmarkEnd w:id="357"/>
    </w:p>
    <w:p>
      <w:pPr>
        <w:pStyle w:val="Heading2"/>
        <w:keepNext w:val="true"/>
        <w:keepLines/>
        <w:widowControl/>
        <w:rPr/>
      </w:pPr>
      <w:bookmarkStart w:id="358" w:name="__RefHeading___Toc8525_528838595"/>
      <w:bookmarkEnd w:id="358"/>
      <w:r>
        <w:rPr/>
        <w:t>21.6 Freshness and historical depth</w:t>
      </w:r>
    </w:p>
    <w:p>
      <w:pPr>
        <w:pStyle w:val="Normal"/>
        <w:rPr/>
      </w:pPr>
      <w:bookmarkStart w:id="359" w:name="freshness-and-historical-depth"/>
      <w:r>
        <w:rPr/>
        <w:t>Freshness is measured against the metric registry’s service-level objective. Historical depth matters because persistence and resilience cannot be inferred from a brief period.</w:t>
      </w:r>
      <w:bookmarkEnd w:id="359"/>
    </w:p>
    <w:p>
      <w:pPr>
        <w:pStyle w:val="Heading2"/>
        <w:keepNext w:val="true"/>
        <w:keepLines/>
        <w:widowControl/>
        <w:rPr/>
      </w:pPr>
      <w:bookmarkStart w:id="360" w:name="__RefHeading___Toc8527_528838595"/>
      <w:bookmarkEnd w:id="360"/>
      <w:r>
        <w:rPr/>
        <w:t>21.7 Cross-source consistency</w:t>
      </w:r>
    </w:p>
    <w:p>
      <w:pPr>
        <w:pStyle w:val="Normal"/>
        <w:rPr/>
      </w:pPr>
      <w:bookmarkStart w:id="361" w:name="cross-source-consistency"/>
      <w:r>
        <w:rPr/>
        <w:t>Where multiple sources are expected to agree, the framework measures divergence. Large unexplained variance lowers confidence and may trigger a dispute.</w:t>
      </w:r>
      <w:bookmarkEnd w:id="361"/>
    </w:p>
    <w:p>
      <w:pPr>
        <w:pStyle w:val="Heading2"/>
        <w:keepNext w:val="true"/>
        <w:keepLines/>
        <w:widowControl/>
        <w:rPr/>
      </w:pPr>
      <w:bookmarkStart w:id="362" w:name="__RefHeading___Toc8529_528838595"/>
      <w:bookmarkEnd w:id="362"/>
      <w:r>
        <w:rPr/>
        <w:t>21.8 Model stability and dispute status</w:t>
      </w:r>
    </w:p>
    <w:p>
      <w:pPr>
        <w:pStyle w:val="Normal"/>
        <w:rPr/>
      </w:pPr>
      <w:bookmarkStart w:id="363" w:name="model-stability-and-dispute-status"/>
      <w:r>
        <w:rPr/>
        <w:t>Sensitivity analysis tests how much the result changes under reasonable benchmark and classification variations. Unresolved disputes, recent methodology changes and high sensitivity reduce confidence.</w:t>
      </w:r>
      <w:bookmarkEnd w:id="363"/>
    </w:p>
    <w:p>
      <w:pPr>
        <w:pStyle w:val="Heading2"/>
        <w:keepNext w:val="true"/>
        <w:keepLines/>
        <w:widowControl/>
        <w:rPr/>
      </w:pPr>
      <w:bookmarkStart w:id="364" w:name="__RefHeading___Toc8531_528838595"/>
      <w:bookmarkEnd w:id="364"/>
      <w:r>
        <w:rPr/>
        <w:t>21.9 Confidence is not performance</w:t>
      </w:r>
    </w:p>
    <w:p>
      <w:pPr>
        <w:pStyle w:val="Normal"/>
        <w:rPr/>
      </w:pPr>
      <w:bookmarkStart w:id="365" w:name="confidence-is-not-performance"/>
      <w:bookmarkStart w:id="366" w:name="vox-confidence-score-vcs"/>
      <w:r>
        <w:rPr/>
        <w:t>A low-performing network can have very high VCS if its weak performance is measured accurately. A high-performing network can have low VCS if evidence is incomplete. VCS must never be folded into VTS as a performance reward or penalty; it governs how strongly the score can be relied upon and published.</w:t>
      </w:r>
      <w:bookmarkEnd w:id="365"/>
      <w:bookmarkEnd w:id="366"/>
      <w:r>
        <w:br w:type="page"/>
      </w:r>
    </w:p>
    <w:p>
      <w:pPr>
        <w:pStyle w:val="PartTitle"/>
        <w:spacing w:before="0" w:after="360"/>
        <w:rPr/>
      </w:pPr>
      <w:bookmarkStart w:id="367" w:name="__RefHeading___Toc8533_528838595"/>
      <w:bookmarkStart w:id="368" w:name="part-v-vox-units-and-v-forex"/>
      <w:bookmarkEnd w:id="367"/>
      <w:r>
        <w:rPr/>
        <w:t>Part V — VOX Units and V-FOREX</w:t>
      </w:r>
      <w:bookmarkEnd w:id="368"/>
    </w:p>
    <w:p>
      <w:pPr>
        <w:pStyle w:val="Heading1"/>
        <w:keepNext w:val="true"/>
        <w:keepLines/>
        <w:widowControl/>
        <w:pBdr>
          <w:bottom w:val="single" w:sz="6" w:space="5" w:color="8AB2BF"/>
        </w:pBdr>
        <w:jc w:val="left"/>
        <w:rPr/>
      </w:pPr>
      <w:bookmarkStart w:id="369" w:name="__RefHeading___Toc8535_528838595"/>
      <w:bookmarkEnd w:id="369"/>
      <w:r>
        <w:rPr/>
        <w:t>22. VOX as an Analytical Unit</w:t>
      </w:r>
    </w:p>
    <w:p>
      <w:pPr>
        <w:pStyle w:val="Heading2"/>
        <w:keepNext w:val="true"/>
        <w:keepLines/>
        <w:widowControl/>
        <w:rPr/>
      </w:pPr>
      <w:bookmarkStart w:id="370" w:name="__RefHeading___Toc8537_528838595"/>
      <w:bookmarkEnd w:id="370"/>
      <w:r>
        <w:rPr/>
        <w:t>22.1 Measurement-first design</w:t>
      </w:r>
    </w:p>
    <w:p>
      <w:pPr>
        <w:pStyle w:val="Normal"/>
        <w:rPr/>
      </w:pPr>
      <w:r>
        <w:rPr/>
        <w:t>The first form of VOX is an analytical denomination, not a transferable token. A network’s analytical VOX unit expresses its VTS relative to the ERU and other networks. This enables research, comparison and accounting without creating monetary liabilities or market risk.</w:t>
      </w:r>
    </w:p>
    <w:p>
      <w:pPr>
        <w:pStyle w:val="BodyText"/>
        <w:widowControl/>
        <w:rPr/>
      </w:pPr>
      <w:r>
        <w:rPr/>
        <w:t>For network i:</w:t>
      </w:r>
    </w:p>
    <w:p>
      <w:pPr>
        <w:pStyle w:val="BodyText"/>
        <w:keepLines/>
        <w:spacing w:before="80" w:after="160"/>
        <w:jc w:val="center"/>
        <w:rPr/>
      </w:pPr>
      <w:r>
        <w:rPr/>
        <w:drawing>
          <wp:inline distT="0" distB="0" distL="0" distR="0">
            <wp:extent cx="3629025" cy="310515"/>
            <wp:effectExtent l="0" t="0" r="0" b="0"/>
            <wp:docPr id="37" name="Picture 37" descr="Equation&#10;1\,\mathrm{Analytical\ VOX}_i\equiv VTS_i\times 1\,E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Equation&#10;1\,\mathrm{Analytical\ VOX}_i\equiv VTS_i\times 1\,ERU"/>
                    <pic:cNvPicPr>
                      <a:picLocks noChangeAspect="1" noChangeArrowheads="1"/>
                    </pic:cNvPicPr>
                  </pic:nvPicPr>
                  <pic:blipFill>
                    <a:blip r:embed="rId38"/>
                    <a:stretch>
                      <a:fillRect/>
                    </a:stretch>
                  </pic:blipFill>
                  <pic:spPr bwMode="auto">
                    <a:xfrm>
                      <a:off x="0" y="0"/>
                      <a:ext cx="3629025" cy="310515"/>
                    </a:xfrm>
                    <a:prstGeom prst="rect">
                      <a:avLst/>
                    </a:prstGeom>
                    <a:noFill/>
                  </pic:spPr>
                </pic:pic>
              </a:graphicData>
            </a:graphic>
          </wp:inline>
        </w:drawing>
      </w:r>
    </w:p>
    <w:p>
      <w:pPr>
        <w:pStyle w:val="Normal"/>
        <w:rPr/>
      </w:pPr>
      <w:r>
        <w:rPr/>
        <w:t>This statement does not claim a fiat price. It means that the network’s measured economic performance equals VTS_i times the current reference unit.</w:t>
      </w:r>
    </w:p>
    <w:p>
      <w:pPr>
        <w:pStyle w:val="Heading2"/>
        <w:keepNext w:val="true"/>
        <w:keepLines/>
        <w:widowControl/>
        <w:rPr/>
      </w:pPr>
      <w:bookmarkStart w:id="371" w:name="__RefHeading___Toc8539_528838595"/>
      <w:bookmarkEnd w:id="371"/>
      <w:r>
        <w:rPr/>
        <w:t>22.2 Network naming</w:t>
      </w:r>
    </w:p>
    <w:p>
      <w:pPr>
        <w:pStyle w:val="Normal"/>
        <w:rPr/>
      </w:pPr>
      <w:bookmarkStart w:id="372" w:name="network-naming"/>
      <w:r>
        <w:rPr/>
        <w:t>Network-specific analytical units may use transparent symbols such as VOX-ETH, VOX-BTC or VOX-SOL. Symbols are identifiers, not claims of endorsement by the underlying network.</w:t>
      </w:r>
      <w:bookmarkEnd w:id="372"/>
    </w:p>
    <w:p>
      <w:pPr>
        <w:pStyle w:val="Heading2"/>
        <w:keepNext w:val="true"/>
        <w:keepLines/>
        <w:widowControl/>
        <w:rPr/>
      </w:pPr>
      <w:bookmarkStart w:id="373" w:name="__RefHeading___Toc8541_528838595"/>
      <w:bookmarkEnd w:id="373"/>
      <w:r>
        <w:rPr/>
        <w:t>22.3 Uses before tokenisation</w:t>
      </w:r>
    </w:p>
    <w:p>
      <w:pPr>
        <w:pStyle w:val="Normal"/>
        <w:rPr/>
      </w:pPr>
      <w:r>
        <w:rPr/>
        <w:t>Analytical VOX can support:</w:t>
      </w:r>
    </w:p>
    <w:p>
      <w:pPr>
        <w:pStyle w:val="Compact"/>
        <w:widowControl/>
        <w:numPr>
          <w:ilvl w:val="0"/>
          <w:numId w:val="1149"/>
        </w:numPr>
        <w:rPr/>
      </w:pPr>
      <w:r>
        <w:rPr/>
        <w:t>comparative network accounting;</w:t>
      </w:r>
    </w:p>
    <w:p>
      <w:pPr>
        <w:pStyle w:val="Compact"/>
        <w:widowControl/>
        <w:numPr>
          <w:ilvl w:val="0"/>
          <w:numId w:val="1150"/>
        </w:numPr>
        <w:rPr/>
      </w:pPr>
      <w:r>
        <w:rPr/>
        <w:t>research dashboards and reports;</w:t>
      </w:r>
    </w:p>
    <w:p>
      <w:pPr>
        <w:pStyle w:val="Compact"/>
        <w:widowControl/>
        <w:numPr>
          <w:ilvl w:val="0"/>
          <w:numId w:val="1151"/>
        </w:numPr>
        <w:rPr/>
      </w:pPr>
      <w:r>
        <w:rPr/>
        <w:t>benchmark portfolios;</w:t>
      </w:r>
    </w:p>
    <w:p>
      <w:pPr>
        <w:pStyle w:val="Compact"/>
        <w:widowControl/>
        <w:numPr>
          <w:ilvl w:val="0"/>
          <w:numId w:val="1152"/>
        </w:numPr>
        <w:rPr/>
      </w:pPr>
      <w:r>
        <w:rPr/>
        <w:t>cross-chain economic indices;</w:t>
      </w:r>
    </w:p>
    <w:p>
      <w:pPr>
        <w:pStyle w:val="Compact"/>
        <w:widowControl/>
        <w:numPr>
          <w:ilvl w:val="0"/>
          <w:numId w:val="1153"/>
        </w:numPr>
        <w:rPr/>
      </w:pPr>
      <w:r>
        <w:rPr/>
        <w:t>collateral and risk research;</w:t>
      </w:r>
    </w:p>
    <w:p>
      <w:pPr>
        <w:pStyle w:val="Compact"/>
        <w:widowControl/>
        <w:numPr>
          <w:ilvl w:val="0"/>
          <w:numId w:val="1154"/>
        </w:numPr>
        <w:rPr/>
      </w:pPr>
      <w:r>
        <w:rPr/>
        <w:t>governance impact simulation;</w:t>
      </w:r>
    </w:p>
    <w:p>
      <w:pPr>
        <w:pStyle w:val="Compact"/>
        <w:widowControl/>
        <w:numPr>
          <w:ilvl w:val="0"/>
          <w:numId w:val="1155"/>
        </w:numPr>
        <w:rPr/>
      </w:pPr>
      <w:r>
        <w:rPr/>
        <w:t>historical economic-performance charts;</w:t>
      </w:r>
    </w:p>
    <w:p>
      <w:pPr>
        <w:pStyle w:val="Compact"/>
        <w:widowControl/>
        <w:numPr>
          <w:ilvl w:val="0"/>
          <w:numId w:val="1156"/>
        </w:numPr>
        <w:rPr/>
      </w:pPr>
      <w:bookmarkStart w:id="374" w:name="uses-before-tokenisation"/>
      <w:r>
        <w:rPr/>
        <w:t>V-FOREX reference calculations.</w:t>
      </w:r>
      <w:bookmarkEnd w:id="374"/>
    </w:p>
    <w:p>
      <w:pPr>
        <w:pStyle w:val="Heading2"/>
        <w:keepNext w:val="true"/>
        <w:keepLines/>
        <w:widowControl/>
        <w:rPr/>
      </w:pPr>
      <w:bookmarkStart w:id="375" w:name="__RefHeading___Toc8543_528838595"/>
      <w:bookmarkEnd w:id="375"/>
      <w:r>
        <w:rPr/>
        <w:t>22.4 No ownership claim</w:t>
      </w:r>
    </w:p>
    <w:p>
      <w:pPr>
        <w:pStyle w:val="Normal"/>
        <w:rPr/>
      </w:pPr>
      <w:bookmarkStart w:id="376" w:name="no-ownership-claim"/>
      <w:bookmarkStart w:id="377" w:name="vox-as-an-analytical-unit"/>
      <w:r>
        <w:rPr/>
        <w:t>An analytical VOX unit does not represent ownership of a network, a claim on fees, a debt obligation or a redemption right. Any later transferable implementation must define its own legal and economic rights explicitly.</w:t>
      </w:r>
      <w:bookmarkEnd w:id="376"/>
      <w:bookmarkEnd w:id="377"/>
    </w:p>
    <w:p>
      <w:pPr>
        <w:pStyle w:val="Heading1"/>
        <w:keepNext w:val="true"/>
        <w:keepLines/>
        <w:widowControl/>
        <w:pBdr>
          <w:bottom w:val="single" w:sz="6" w:space="5" w:color="8AB2BF"/>
        </w:pBdr>
        <w:jc w:val="left"/>
        <w:rPr/>
      </w:pPr>
      <w:bookmarkStart w:id="378" w:name="__RefHeading___Toc8545_528838595"/>
      <w:bookmarkEnd w:id="378"/>
      <w:r>
        <w:rPr/>
        <w:t>23. Optional Tokenised VOX</w:t>
      </w:r>
    </w:p>
    <w:p>
      <w:pPr>
        <w:pStyle w:val="Heading2"/>
        <w:keepNext w:val="true"/>
        <w:keepLines/>
        <w:widowControl/>
        <w:rPr/>
      </w:pPr>
      <w:bookmarkStart w:id="379" w:name="__RefHeading___Toc8547_528838595"/>
      <w:bookmarkEnd w:id="379"/>
      <w:r>
        <w:rPr/>
        <w:t>23.1 Activation principle</w:t>
      </w:r>
    </w:p>
    <w:p>
      <w:pPr>
        <w:pStyle w:val="Normal"/>
        <w:rPr/>
      </w:pPr>
      <w:r>
        <w:rPr/>
        <w:t>Tokenised VOX is optional. It may be activated only when the network measurement is mature enough to support a high-stakes economic implementation.</w:t>
      </w:r>
    </w:p>
    <w:p>
      <w:pPr>
        <w:pStyle w:val="BodyText"/>
        <w:widowControl/>
        <w:rPr/>
      </w:pPr>
      <w:r>
        <w:rPr/>
        <w:t>Minimum activation conditions include:</w:t>
      </w:r>
    </w:p>
    <w:p>
      <w:pPr>
        <w:pStyle w:val="Compact"/>
        <w:widowControl/>
        <w:numPr>
          <w:ilvl w:val="0"/>
          <w:numId w:val="1157"/>
        </w:numPr>
        <w:rPr/>
      </w:pPr>
      <w:r>
        <w:rPr/>
        <w:t>VCS of at least 85 for a sustained governance-defined period;</w:t>
      </w:r>
    </w:p>
    <w:p>
      <w:pPr>
        <w:pStyle w:val="Compact"/>
        <w:widowControl/>
        <w:numPr>
          <w:ilvl w:val="0"/>
          <w:numId w:val="1158"/>
        </w:numPr>
        <w:rPr/>
      </w:pPr>
      <w:r>
        <w:rPr/>
        <w:t>certified adapters for all six indices;</w:t>
      </w:r>
    </w:p>
    <w:p>
      <w:pPr>
        <w:pStyle w:val="Compact"/>
        <w:widowControl/>
        <w:numPr>
          <w:ilvl w:val="0"/>
          <w:numId w:val="1159"/>
        </w:numPr>
        <w:rPr/>
      </w:pPr>
      <w:r>
        <w:rPr/>
        <w:t>independent security and economic audits;</w:t>
      </w:r>
    </w:p>
    <w:p>
      <w:pPr>
        <w:pStyle w:val="Compact"/>
        <w:widowControl/>
        <w:numPr>
          <w:ilvl w:val="0"/>
          <w:numId w:val="1160"/>
        </w:numPr>
        <w:rPr/>
      </w:pPr>
      <w:r>
        <w:rPr/>
        <w:t>public issuance, contraction and settlement specifications;</w:t>
      </w:r>
    </w:p>
    <w:p>
      <w:pPr>
        <w:pStyle w:val="Compact"/>
        <w:widowControl/>
        <w:numPr>
          <w:ilvl w:val="0"/>
          <w:numId w:val="1161"/>
        </w:numPr>
        <w:rPr/>
      </w:pPr>
      <w:r>
        <w:rPr/>
        <w:t>legal analysis in relevant jurisdictions;</w:t>
      </w:r>
    </w:p>
    <w:p>
      <w:pPr>
        <w:pStyle w:val="Compact"/>
        <w:widowControl/>
        <w:numPr>
          <w:ilvl w:val="0"/>
          <w:numId w:val="1162"/>
        </w:numPr>
        <w:rPr/>
      </w:pPr>
      <w:r>
        <w:rPr/>
        <w:t>market-liquidity and manipulation tests;</w:t>
      </w:r>
    </w:p>
    <w:p>
      <w:pPr>
        <w:pStyle w:val="Compact"/>
        <w:widowControl/>
        <w:numPr>
          <w:ilvl w:val="0"/>
          <w:numId w:val="1163"/>
        </w:numPr>
        <w:rPr/>
      </w:pPr>
      <w:r>
        <w:rPr/>
        <w:t>emergency and recovery procedures;</w:t>
      </w:r>
    </w:p>
    <w:p>
      <w:pPr>
        <w:pStyle w:val="Compact"/>
        <w:widowControl/>
        <w:numPr>
          <w:ilvl w:val="0"/>
          <w:numId w:val="1164"/>
        </w:numPr>
        <w:rPr/>
      </w:pPr>
      <w:bookmarkStart w:id="380" w:name="activation-principle"/>
      <w:r>
        <w:rPr/>
        <w:t>DAO supermajority approval after public simulation.</w:t>
      </w:r>
      <w:bookmarkEnd w:id="380"/>
    </w:p>
    <w:p>
      <w:pPr>
        <w:pStyle w:val="Heading2"/>
        <w:keepNext w:val="true"/>
        <w:keepLines/>
        <w:widowControl/>
        <w:rPr/>
      </w:pPr>
      <w:bookmarkStart w:id="381" w:name="__RefHeading___Toc8549_528838595"/>
      <w:bookmarkEnd w:id="381"/>
      <w:r>
        <w:rPr/>
        <w:t>23.2 Universal parameters</w:t>
      </w:r>
    </w:p>
    <w:p>
      <w:pPr>
        <w:pStyle w:val="Normal"/>
        <w:rPr/>
      </w:pPr>
      <w:r>
        <w:rPr/>
        <w:t>Edition 3.1 rejects arbitrary chain-specific maximum capacities. A common reference capacity C_ref and curvature parameter κ apply universally within an implementation version.</w:t>
      </w:r>
    </w:p>
    <w:p>
      <w:pPr>
        <w:pStyle w:val="BodyText"/>
        <w:widowControl/>
        <w:rPr/>
      </w:pPr>
      <w:r>
        <w:rPr/>
        <w:t>The target indexed supply is:</w:t>
      </w:r>
    </w:p>
    <w:p>
      <w:pPr>
        <w:pStyle w:val="BodyText"/>
        <w:keepLines/>
        <w:spacing w:before="80" w:after="160"/>
        <w:jc w:val="center"/>
        <w:rPr/>
      </w:pPr>
      <w:r>
        <w:rPr/>
        <w:drawing>
          <wp:inline distT="0" distB="0" distL="0" distR="0">
            <wp:extent cx="3594735" cy="327660"/>
            <wp:effectExtent l="0" t="0" r="0" b="0"/>
            <wp:docPr id="38" name="Picture 38" descr="Equation&#10;S_{\mathrm{target},t}=C_{\mathrm{ref}}\,\mathrm{clip}\!\left(VTS_t^{\kappa},\,g_{\min},\,g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Equation&#10;S_{\mathrm{target},t}=C_{\mathrm{ref}}\,\mathrm{clip}\!\left(VTS_t^{\kappa},\,g_{\min},\,g_{\max}\right)"/>
                    <pic:cNvPicPr>
                      <a:picLocks noChangeAspect="1" noChangeArrowheads="1"/>
                    </pic:cNvPicPr>
                  </pic:nvPicPr>
                  <pic:blipFill>
                    <a:blip r:embed="rId39"/>
                    <a:stretch>
                      <a:fillRect/>
                    </a:stretch>
                  </pic:blipFill>
                  <pic:spPr bwMode="auto">
                    <a:xfrm>
                      <a:off x="0" y="0"/>
                      <a:ext cx="3594735" cy="327660"/>
                    </a:xfrm>
                    <a:prstGeom prst="rect">
                      <a:avLst/>
                    </a:prstGeom>
                    <a:noFill/>
                  </pic:spPr>
                </pic:pic>
              </a:graphicData>
            </a:graphic>
          </wp:inline>
        </w:drawing>
      </w:r>
    </w:p>
    <w:p>
      <w:pPr>
        <w:pStyle w:val="Normal"/>
        <w:rPr/>
      </w:pPr>
      <w:r>
        <w:rPr/>
        <w:t>where:</w:t>
      </w:r>
    </w:p>
    <w:p>
      <w:pPr>
        <w:pStyle w:val="Compact"/>
        <w:widowControl/>
        <w:numPr>
          <w:ilvl w:val="0"/>
          <w:numId w:val="1165"/>
        </w:numPr>
        <w:rPr/>
      </w:pPr>
      <w:r>
        <w:rPr/>
        <w:t>C_ref is the universal reference quantity;</w:t>
      </w:r>
    </w:p>
    <w:p>
      <w:pPr>
        <w:pStyle w:val="Compact"/>
        <w:widowControl/>
        <w:numPr>
          <w:ilvl w:val="0"/>
          <w:numId w:val="1166"/>
        </w:numPr>
        <w:rPr/>
      </w:pPr>
      <w:r>
        <w:rPr/>
        <w:t>VTS_t is the standardised score;</w:t>
      </w:r>
    </w:p>
    <w:p>
      <w:pPr>
        <w:pStyle w:val="Compact"/>
        <w:widowControl/>
        <w:numPr>
          <w:ilvl w:val="0"/>
          <w:numId w:val="1167"/>
        </w:numPr>
        <w:rPr/>
      </w:pPr>
      <w:r>
        <w:rPr/>
        <w:t>κ controls non-linearity;</w:t>
      </w:r>
    </w:p>
    <w:p>
      <w:pPr>
        <w:pStyle w:val="Compact"/>
        <w:widowControl/>
        <w:numPr>
          <w:ilvl w:val="0"/>
          <w:numId w:val="1168"/>
        </w:numPr>
        <w:rPr/>
      </w:pPr>
      <w:r>
        <w:rPr/>
        <w:t>g_min and g_max define constitutional bounds.</w:t>
      </w:r>
    </w:p>
    <w:p>
      <w:pPr>
        <w:pStyle w:val="Normal"/>
        <w:rPr/>
      </w:pPr>
      <w:bookmarkStart w:id="382" w:name="universal-parameters"/>
      <w:r>
        <w:rPr/>
        <w:t>These parameters affect quantity accounting, not guaranteed market price.</w:t>
      </w:r>
      <w:bookmarkEnd w:id="382"/>
    </w:p>
    <w:p>
      <w:pPr>
        <w:pStyle w:val="Heading2"/>
        <w:keepNext w:val="true"/>
        <w:keepLines/>
        <w:widowControl/>
        <w:rPr/>
      </w:pPr>
      <w:bookmarkStart w:id="383" w:name="__RefHeading___Toc8551_528838595"/>
      <w:bookmarkEnd w:id="383"/>
      <w:r>
        <w:rPr/>
        <w:t>23.3 Controlled adjustment</w:t>
      </w:r>
    </w:p>
    <w:p>
      <w:pPr>
        <w:pStyle w:val="Normal"/>
        <w:rPr/>
      </w:pPr>
      <w:r>
        <w:rPr/>
        <w:t>The target cannot be reached through unlimited instantaneous minting or burning. The allowed adjustment rate is bounded:</w:t>
      </w:r>
    </w:p>
    <w:p>
      <w:pPr>
        <w:pStyle w:val="BodyText"/>
        <w:keepLines/>
        <w:spacing w:before="80" w:after="160"/>
        <w:jc w:val="center"/>
        <w:rPr/>
      </w:pPr>
      <w:r>
        <w:rPr/>
        <w:drawing>
          <wp:inline distT="0" distB="0" distL="0" distR="0">
            <wp:extent cx="3625850" cy="522605"/>
            <wp:effectExtent l="0" t="0" r="0" b="0"/>
            <wp:docPr id="39" name="Picture 39" descr="Equation&#10;r_t=\mathrm{clip}\!\left(\frac{S_{\mathrm{target},t}}{S_{\mathrm{current},t}}-1,\,-r_{\max},\,+r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quation&#10;r_t=\mathrm{clip}\!\left(\frac{S_{\mathrm{target},t}}{S_{\mathrm{current},t}}-1,\,-r_{\max},\,+r_{\max}\right)"/>
                    <pic:cNvPicPr>
                      <a:picLocks noChangeAspect="1" noChangeArrowheads="1"/>
                    </pic:cNvPicPr>
                  </pic:nvPicPr>
                  <pic:blipFill>
                    <a:blip r:embed="rId40"/>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40" name="Picture 40" descr="Equation&#10;S_{\mathrm{next},t}=S_{\mathrm{current},t}(1+r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Equation&#10;S_{\mathrm{next},t}=S_{\mathrm{current},t}(1+r_t)"/>
                    <pic:cNvPicPr>
                      <a:picLocks noChangeAspect="1" noChangeArrowheads="1"/>
                    </pic:cNvPicPr>
                  </pic:nvPicPr>
                  <pic:blipFill>
                    <a:blip r:embed="rId41"/>
                    <a:stretch>
                      <a:fillRect/>
                    </a:stretch>
                  </pic:blipFill>
                  <pic:spPr bwMode="auto">
                    <a:xfrm>
                      <a:off x="0" y="0"/>
                      <a:ext cx="2334895" cy="303530"/>
                    </a:xfrm>
                    <a:prstGeom prst="rect">
                      <a:avLst/>
                    </a:prstGeom>
                    <a:noFill/>
                  </pic:spPr>
                </pic:pic>
              </a:graphicData>
            </a:graphic>
          </wp:inline>
        </w:drawing>
      </w:r>
    </w:p>
    <w:p>
      <w:pPr>
        <w:pStyle w:val="Normal"/>
        <w:rPr/>
      </w:pPr>
      <w:r>
        <w:rPr/>
        <w:t>where r_max limits expansion and contraction per adjustment period.</w:t>
      </w:r>
    </w:p>
    <w:p>
      <w:pPr>
        <w:pStyle w:val="Heading2"/>
        <w:keepNext w:val="true"/>
        <w:keepLines/>
        <w:widowControl/>
        <w:rPr/>
      </w:pPr>
      <w:bookmarkStart w:id="384" w:name="__RefHeading___Toc8553_528838595"/>
      <w:bookmarkEnd w:id="384"/>
      <w:r>
        <w:rPr/>
        <w:t>23.4 Explicit contraction</w:t>
      </w:r>
    </w:p>
    <w:p>
      <w:pPr>
        <w:pStyle w:val="Normal"/>
        <w:rPr/>
      </w:pPr>
      <w:r>
        <w:rPr/>
        <w:t>The earlier framework described a compressing ceiling without defining how supply would contract. Edition 3.1 resolves this by requiring a share-preserving indexed-balance mechanism, unless a future implementation proves a superior mechanism.</w:t>
      </w:r>
    </w:p>
    <w:p>
      <w:pPr>
        <w:pStyle w:val="BodyText"/>
        <w:widowControl/>
        <w:rPr/>
      </w:pPr>
      <w:r>
        <w:rPr/>
        <w:t>Under indexed balances, each holder owns a constant number of shares q_h. The visible balance is:</w:t>
      </w:r>
    </w:p>
    <w:p>
      <w:pPr>
        <w:pStyle w:val="BodyText"/>
        <w:keepLines/>
        <w:spacing w:before="80" w:after="160"/>
        <w:jc w:val="center"/>
        <w:rPr/>
      </w:pPr>
      <w:r>
        <w:rPr/>
        <w:drawing>
          <wp:inline distT="0" distB="0" distL="0" distR="0">
            <wp:extent cx="1706880" cy="307340"/>
            <wp:effectExtent l="0" t="0" r="0" b="0"/>
            <wp:docPr id="41" name="Picture 41" descr="Equation&#10;\mathrm{Balance}_{h,t}=q_h I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quation&#10;\mathrm{Balance}_{h,t}=q_h I_t"/>
                    <pic:cNvPicPr>
                      <a:picLocks noChangeAspect="1" noChangeArrowheads="1"/>
                    </pic:cNvPicPr>
                  </pic:nvPicPr>
                  <pic:blipFill>
                    <a:blip r:embed="rId42"/>
                    <a:stretch>
                      <a:fillRect/>
                    </a:stretch>
                  </pic:blipFill>
                  <pic:spPr bwMode="auto">
                    <a:xfrm>
                      <a:off x="0" y="0"/>
                      <a:ext cx="1706880" cy="307340"/>
                    </a:xfrm>
                    <a:prstGeom prst="rect">
                      <a:avLst/>
                    </a:prstGeom>
                    <a:noFill/>
                  </pic:spPr>
                </pic:pic>
              </a:graphicData>
            </a:graphic>
          </wp:inline>
        </w:drawing>
      </w:r>
    </w:p>
    <w:p>
      <w:pPr>
        <w:pStyle w:val="Normal"/>
        <w:rPr/>
      </w:pPr>
      <w:r>
        <w:rPr/>
        <w:t>where I_t is a global supply index. When target supply falls, I_t declines proportionally for all non-exempt balances. When target supply rises, I_t increases proportionally. No participant is selectively diluted or protected.</w:t>
      </w:r>
    </w:p>
    <w:p>
      <w:pPr>
        <w:pStyle w:val="BodyText"/>
        <w:widowControl/>
        <w:rPr/>
      </w:pPr>
      <w:bookmarkStart w:id="385" w:name="explicit-contraction"/>
      <w:r>
        <w:rPr/>
        <w:t>Contracts and venues must be designed to support indexed balances safely. Any exempt account, treasury or bridge representation must be disclosed and included in total-supply accounting.</w:t>
      </w:r>
      <w:bookmarkEnd w:id="385"/>
    </w:p>
    <w:p>
      <w:pPr>
        <w:pStyle w:val="Heading2"/>
        <w:keepNext w:val="true"/>
        <w:keepLines/>
        <w:widowControl/>
        <w:rPr/>
      </w:pPr>
      <w:bookmarkStart w:id="386" w:name="__RefHeading___Toc8555_528838595"/>
      <w:bookmarkEnd w:id="386"/>
      <w:r>
        <w:rPr/>
        <w:t>23.5 Alternative redemption-based design</w:t>
      </w:r>
    </w:p>
    <w:p>
      <w:pPr>
        <w:pStyle w:val="Normal"/>
        <w:rPr/>
      </w:pPr>
      <w:r>
        <w:rPr/>
        <w:t>A future implementation may use explicit mint and redemption rather than indexed balances, but only if it defines:</w:t>
      </w:r>
    </w:p>
    <w:p>
      <w:pPr>
        <w:pStyle w:val="Compact"/>
        <w:widowControl/>
        <w:numPr>
          <w:ilvl w:val="0"/>
          <w:numId w:val="1169"/>
        </w:numPr>
        <w:rPr/>
      </w:pPr>
      <w:r>
        <w:rPr/>
        <w:t>what asset or right is redeemed;</w:t>
      </w:r>
    </w:p>
    <w:p>
      <w:pPr>
        <w:pStyle w:val="Compact"/>
        <w:widowControl/>
        <w:numPr>
          <w:ilvl w:val="0"/>
          <w:numId w:val="1170"/>
        </w:numPr>
        <w:rPr/>
      </w:pPr>
      <w:r>
        <w:rPr/>
        <w:t>who bears contraction costs;</w:t>
      </w:r>
    </w:p>
    <w:p>
      <w:pPr>
        <w:pStyle w:val="Compact"/>
        <w:widowControl/>
        <w:numPr>
          <w:ilvl w:val="0"/>
          <w:numId w:val="1171"/>
        </w:numPr>
        <w:rPr/>
      </w:pPr>
      <w:r>
        <w:rPr/>
        <w:t>solvency and reserve rules;</w:t>
      </w:r>
    </w:p>
    <w:p>
      <w:pPr>
        <w:pStyle w:val="Compact"/>
        <w:widowControl/>
        <w:numPr>
          <w:ilvl w:val="0"/>
          <w:numId w:val="1172"/>
        </w:numPr>
        <w:rPr/>
      </w:pPr>
      <w:r>
        <w:rPr/>
        <w:t>redemption priority;</w:t>
      </w:r>
    </w:p>
    <w:p>
      <w:pPr>
        <w:pStyle w:val="Compact"/>
        <w:widowControl/>
        <w:numPr>
          <w:ilvl w:val="0"/>
          <w:numId w:val="1173"/>
        </w:numPr>
        <w:rPr/>
      </w:pPr>
      <w:r>
        <w:rPr/>
        <w:t>legal enforceability;</w:t>
      </w:r>
    </w:p>
    <w:p>
      <w:pPr>
        <w:pStyle w:val="Compact"/>
        <w:widowControl/>
        <w:numPr>
          <w:ilvl w:val="0"/>
          <w:numId w:val="1174"/>
        </w:numPr>
        <w:rPr/>
      </w:pPr>
      <w:r>
        <w:rPr/>
        <w:t>run and liquidity controls.</w:t>
      </w:r>
    </w:p>
    <w:p>
      <w:pPr>
        <w:pStyle w:val="Normal"/>
        <w:rPr/>
      </w:pPr>
      <w:bookmarkStart w:id="387" w:name="alternative-redemption-based-design"/>
      <w:r>
        <w:rPr/>
        <w:t>Without a credible redemption asset, a redemption claim must not be implied.</w:t>
      </w:r>
      <w:bookmarkEnd w:id="387"/>
    </w:p>
    <w:p>
      <w:pPr>
        <w:pStyle w:val="Heading2"/>
        <w:keepNext w:val="true"/>
        <w:keepLines/>
        <w:widowControl/>
        <w:rPr/>
      </w:pPr>
      <w:bookmarkStart w:id="388" w:name="__RefHeading___Toc8557_528838595"/>
      <w:bookmarkEnd w:id="388"/>
      <w:r>
        <w:rPr/>
        <w:t>23.6 No automatic price guarantee</w:t>
      </w:r>
    </w:p>
    <w:p>
      <w:pPr>
        <w:pStyle w:val="Normal"/>
        <w:rPr/>
      </w:pPr>
      <w:bookmarkStart w:id="389" w:name="no-automatic-price-guarantee"/>
      <w:r>
        <w:rPr/>
        <w:t>A VTS-linked supply rule does not guarantee that market price equals VTS, ERU or any reference rate. Price remains determined by supply, demand, liquidity, rights, expectations and market structure. The implementation must state this clearly.</w:t>
      </w:r>
      <w:bookmarkEnd w:id="389"/>
    </w:p>
    <w:p>
      <w:pPr>
        <w:pStyle w:val="Heading2"/>
        <w:keepNext w:val="true"/>
        <w:keepLines/>
        <w:widowControl/>
        <w:rPr/>
      </w:pPr>
      <w:bookmarkStart w:id="390" w:name="__RefHeading___Toc8559_528838595"/>
      <w:bookmarkEnd w:id="390"/>
      <w:r>
        <w:rPr/>
        <w:t>23.7 Demand and utility</w:t>
      </w:r>
    </w:p>
    <w:p>
      <w:pPr>
        <w:pStyle w:val="Normal"/>
        <w:rPr/>
      </w:pPr>
      <w:r>
        <w:rPr/>
        <w:t>Tokenised VOX requires genuine demand. Permitted utilities may include:</w:t>
      </w:r>
    </w:p>
    <w:p>
      <w:pPr>
        <w:pStyle w:val="Compact"/>
        <w:widowControl/>
        <w:numPr>
          <w:ilvl w:val="0"/>
          <w:numId w:val="1175"/>
        </w:numPr>
        <w:rPr/>
      </w:pPr>
      <w:r>
        <w:rPr/>
        <w:t>settlement of VOX-indexed obligations;</w:t>
      </w:r>
    </w:p>
    <w:p>
      <w:pPr>
        <w:pStyle w:val="Compact"/>
        <w:widowControl/>
        <w:numPr>
          <w:ilvl w:val="0"/>
          <w:numId w:val="1176"/>
        </w:numPr>
        <w:rPr/>
      </w:pPr>
      <w:r>
        <w:rPr/>
        <w:t>payment for data, verification or adapter services;</w:t>
      </w:r>
    </w:p>
    <w:p>
      <w:pPr>
        <w:pStyle w:val="Compact"/>
        <w:widowControl/>
        <w:numPr>
          <w:ilvl w:val="0"/>
          <w:numId w:val="1177"/>
        </w:numPr>
        <w:rPr/>
      </w:pPr>
      <w:r>
        <w:rPr/>
        <w:t>liquidity and clearing collateral under risk limits;</w:t>
      </w:r>
    </w:p>
    <w:p>
      <w:pPr>
        <w:pStyle w:val="Compact"/>
        <w:widowControl/>
        <w:numPr>
          <w:ilvl w:val="0"/>
          <w:numId w:val="1178"/>
        </w:numPr>
        <w:rPr/>
      </w:pPr>
      <w:r>
        <w:rPr/>
        <w:t>governance bonds and dispute stakes;</w:t>
      </w:r>
    </w:p>
    <w:p>
      <w:pPr>
        <w:pStyle w:val="Compact"/>
        <w:widowControl/>
        <w:numPr>
          <w:ilvl w:val="0"/>
          <w:numId w:val="1179"/>
        </w:numPr>
        <w:rPr/>
      </w:pPr>
      <w:r>
        <w:rPr/>
        <w:t>oracle security deposits;</w:t>
      </w:r>
    </w:p>
    <w:p>
      <w:pPr>
        <w:pStyle w:val="Compact"/>
        <w:widowControl/>
        <w:numPr>
          <w:ilvl w:val="0"/>
          <w:numId w:val="1180"/>
        </w:numPr>
        <w:rPr/>
      </w:pPr>
      <w:r>
        <w:rPr/>
        <w:t>cross-chain accounting and treasury use;</w:t>
      </w:r>
    </w:p>
    <w:p>
      <w:pPr>
        <w:pStyle w:val="Compact"/>
        <w:widowControl/>
        <w:numPr>
          <w:ilvl w:val="0"/>
          <w:numId w:val="1181"/>
        </w:numPr>
        <w:rPr/>
      </w:pPr>
      <w:r>
        <w:rPr/>
        <w:t>access to defined protocol services.</w:t>
      </w:r>
    </w:p>
    <w:p>
      <w:pPr>
        <w:pStyle w:val="Normal"/>
        <w:rPr/>
      </w:pPr>
      <w:bookmarkStart w:id="391" w:name="demand-and-utility"/>
      <w:r>
        <w:rPr/>
        <w:t>Demand cannot be based solely on expectations of appreciation or emissions paid to attract new buyers.</w:t>
      </w:r>
      <w:bookmarkEnd w:id="391"/>
    </w:p>
    <w:p>
      <w:pPr>
        <w:pStyle w:val="Heading2"/>
        <w:keepNext w:val="true"/>
        <w:keepLines/>
        <w:widowControl/>
        <w:rPr/>
      </w:pPr>
      <w:bookmarkStart w:id="392" w:name="__RefHeading___Toc8561_528838595"/>
      <w:bookmarkEnd w:id="392"/>
      <w:r>
        <w:rPr/>
        <w:t>23.8 Treasury and issuance distribution</w:t>
      </w:r>
    </w:p>
    <w:p>
      <w:pPr>
        <w:pStyle w:val="Normal"/>
        <w:rPr/>
      </w:pPr>
      <w:r>
        <w:rPr/>
        <w:t>A tokenised implementation must publish:</w:t>
      </w:r>
    </w:p>
    <w:p>
      <w:pPr>
        <w:pStyle w:val="Compact"/>
        <w:widowControl/>
        <w:numPr>
          <w:ilvl w:val="0"/>
          <w:numId w:val="1182"/>
        </w:numPr>
        <w:rPr/>
      </w:pPr>
      <w:r>
        <w:rPr/>
        <w:t>genesis allocation;</w:t>
      </w:r>
    </w:p>
    <w:p>
      <w:pPr>
        <w:pStyle w:val="Compact"/>
        <w:widowControl/>
        <w:numPr>
          <w:ilvl w:val="0"/>
          <w:numId w:val="1183"/>
        </w:numPr>
        <w:rPr/>
      </w:pPr>
      <w:r>
        <w:rPr/>
        <w:t>treasury and contributor allocations;</w:t>
      </w:r>
    </w:p>
    <w:p>
      <w:pPr>
        <w:pStyle w:val="Compact"/>
        <w:widowControl/>
        <w:numPr>
          <w:ilvl w:val="0"/>
          <w:numId w:val="1184"/>
        </w:numPr>
        <w:rPr/>
      </w:pPr>
      <w:r>
        <w:rPr/>
        <w:t>vesting and transfer restrictions;</w:t>
      </w:r>
    </w:p>
    <w:p>
      <w:pPr>
        <w:pStyle w:val="Compact"/>
        <w:widowControl/>
        <w:numPr>
          <w:ilvl w:val="0"/>
          <w:numId w:val="1185"/>
        </w:numPr>
        <w:rPr/>
      </w:pPr>
      <w:r>
        <w:rPr/>
        <w:t>liquidity provisioning;</w:t>
      </w:r>
    </w:p>
    <w:p>
      <w:pPr>
        <w:pStyle w:val="Compact"/>
        <w:widowControl/>
        <w:numPr>
          <w:ilvl w:val="0"/>
          <w:numId w:val="1186"/>
        </w:numPr>
        <w:rPr/>
      </w:pPr>
      <w:r>
        <w:rPr/>
        <w:t>governance control;</w:t>
      </w:r>
    </w:p>
    <w:p>
      <w:pPr>
        <w:pStyle w:val="Compact"/>
        <w:widowControl/>
        <w:numPr>
          <w:ilvl w:val="0"/>
          <w:numId w:val="1187"/>
        </w:numPr>
        <w:rPr/>
      </w:pPr>
      <w:r>
        <w:rPr/>
        <w:t>fee and revenue flows;</w:t>
      </w:r>
    </w:p>
    <w:p>
      <w:pPr>
        <w:pStyle w:val="Compact"/>
        <w:widowControl/>
        <w:numPr>
          <w:ilvl w:val="0"/>
          <w:numId w:val="1188"/>
        </w:numPr>
        <w:rPr/>
      </w:pPr>
      <w:r>
        <w:rPr/>
        <w:t>treatment of contraction across locked, bridged and staked balances.</w:t>
      </w:r>
    </w:p>
    <w:p>
      <w:pPr>
        <w:pStyle w:val="Normal"/>
        <w:rPr/>
      </w:pPr>
      <w:bookmarkStart w:id="393" w:name="treasury-and-issuance-distribution"/>
      <w:r>
        <w:rPr/>
        <w:t>No allocation may be hidden from circulating and fully diluted supply analysis.</w:t>
      </w:r>
      <w:bookmarkEnd w:id="393"/>
    </w:p>
    <w:p>
      <w:pPr>
        <w:pStyle w:val="Heading2"/>
        <w:keepNext w:val="true"/>
        <w:keepLines/>
        <w:widowControl/>
        <w:rPr/>
      </w:pPr>
      <w:bookmarkStart w:id="394" w:name="__RefHeading___Toc8563_528838595"/>
      <w:bookmarkEnd w:id="394"/>
      <w:r>
        <w:rPr/>
        <w:t>23.9 Activation reversibility</w:t>
      </w:r>
    </w:p>
    <w:p>
      <w:pPr>
        <w:pStyle w:val="Normal"/>
        <w:rPr/>
      </w:pPr>
      <w:bookmarkStart w:id="395" w:name="activation-reversibility"/>
      <w:bookmarkStart w:id="396" w:name="optional-tokenised-vox"/>
      <w:r>
        <w:rPr/>
        <w:t>If confidence, security or market integrity falls below minimum thresholds, new issuance may pause. A pause does not erase existing rights or permit arbitrary confiscation. The DAO must follow pre-defined safe-mode rules.</w:t>
      </w:r>
      <w:bookmarkEnd w:id="395"/>
      <w:bookmarkEnd w:id="396"/>
    </w:p>
    <w:p>
      <w:pPr>
        <w:pStyle w:val="Heading1"/>
        <w:keepNext w:val="true"/>
        <w:keepLines/>
        <w:widowControl/>
        <w:pBdr>
          <w:bottom w:val="single" w:sz="6" w:space="5" w:color="8AB2BF"/>
        </w:pBdr>
        <w:jc w:val="left"/>
        <w:rPr/>
      </w:pPr>
      <w:bookmarkStart w:id="397" w:name="__RefHeading___Toc8565_528838595"/>
      <w:bookmarkEnd w:id="397"/>
      <w:r>
        <w:rPr/>
        <w:t>24. VOX Digital Forex Market (V-FOREX)</w:t>
      </w:r>
    </w:p>
    <w:p>
      <w:pPr>
        <w:pStyle w:val="Heading2"/>
        <w:keepNext w:val="true"/>
        <w:keepLines/>
        <w:widowControl/>
        <w:rPr/>
      </w:pPr>
      <w:bookmarkStart w:id="398" w:name="__RefHeading___Toc8567_528838595"/>
      <w:bookmarkEnd w:id="398"/>
      <w:r>
        <w:rPr/>
        <w:t>24.1 Purpose</w:t>
      </w:r>
    </w:p>
    <w:p>
      <w:pPr>
        <w:pStyle w:val="Normal"/>
        <w:rPr/>
      </w:pPr>
      <w:r>
        <w:rPr/>
        <w:t>V-FOREX provides cross-network economic comparison. Its primary output is a deterministic reference ratio derived from standardised VTS:</w:t>
      </w:r>
    </w:p>
    <w:p>
      <w:pPr>
        <w:pStyle w:val="BodyText"/>
        <w:keepLines/>
        <w:spacing w:before="80" w:after="160"/>
        <w:jc w:val="center"/>
        <w:rPr/>
      </w:pPr>
      <w:r>
        <w:rPr/>
        <w:drawing>
          <wp:inline distT="0" distB="0" distL="0" distR="0">
            <wp:extent cx="1508760" cy="513080"/>
            <wp:effectExtent l="0" t="0" r="0" b="0"/>
            <wp:docPr id="42" name="Picture 42" descr="Equation&#10;R_{\mathrm{ref}}\!\left(\frac{A}{B}\right)=\frac{VTS_A}{VT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quation&#10;R_{\mathrm{ref}}\!\left(\frac{A}{B}\right)=\frac{VTS_A}{VTS_B}"/>
                    <pic:cNvPicPr>
                      <a:picLocks noChangeAspect="1" noChangeArrowheads="1"/>
                    </pic:cNvPicPr>
                  </pic:nvPicPr>
                  <pic:blipFill>
                    <a:blip r:embed="rId43"/>
                    <a:stretch>
                      <a:fillRect/>
                    </a:stretch>
                  </pic:blipFill>
                  <pic:spPr bwMode="auto">
                    <a:xfrm>
                      <a:off x="0" y="0"/>
                      <a:ext cx="1508760" cy="513080"/>
                    </a:xfrm>
                    <a:prstGeom prst="rect">
                      <a:avLst/>
                    </a:prstGeom>
                    <a:noFill/>
                  </pic:spPr>
                </pic:pic>
              </a:graphicData>
            </a:graphic>
          </wp:inline>
        </w:drawing>
      </w:r>
    </w:p>
    <w:p>
      <w:pPr>
        <w:pStyle w:val="Normal"/>
        <w:rPr/>
      </w:pPr>
      <w:r>
        <w:rPr/>
        <w:t>If VTS_A = 1.20 and VTS_B = 0.80, the reference ratio is:</w:t>
      </w:r>
    </w:p>
    <w:p>
      <w:pPr>
        <w:pStyle w:val="BodyText"/>
        <w:keepLines/>
        <w:spacing w:before="80" w:after="160"/>
        <w:jc w:val="center"/>
        <w:rPr/>
      </w:pPr>
      <w:r>
        <w:rPr/>
        <w:drawing>
          <wp:inline distT="0" distB="0" distL="0" distR="0">
            <wp:extent cx="1508760" cy="423545"/>
            <wp:effectExtent l="0" t="0" r="0" b="0"/>
            <wp:docPr id="43" name="Picture 43" descr="Equation&#10;R_{\mathrm{ref}}\!\left(\frac{A}{B}\right)=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quation&#10;R_{\mathrm{ref}}\!\left(\frac{A}{B}\right)=1.50"/>
                    <pic:cNvPicPr>
                      <a:picLocks noChangeAspect="1" noChangeArrowheads="1"/>
                    </pic:cNvPicPr>
                  </pic:nvPicPr>
                  <pic:blipFill>
                    <a:blip r:embed="rId44"/>
                    <a:stretch>
                      <a:fillRect/>
                    </a:stretch>
                  </pic:blipFill>
                  <pic:spPr bwMode="auto">
                    <a:xfrm>
                      <a:off x="0" y="0"/>
                      <a:ext cx="1508760" cy="423545"/>
                    </a:xfrm>
                    <a:prstGeom prst="rect">
                      <a:avLst/>
                    </a:prstGeom>
                    <a:noFill/>
                  </pic:spPr>
                </pic:pic>
              </a:graphicData>
            </a:graphic>
          </wp:inline>
        </w:drawing>
      </w:r>
    </w:p>
    <w:p>
      <w:pPr>
        <w:pStyle w:val="Normal"/>
        <w:rPr/>
      </w:pPr>
      <w:bookmarkStart w:id="399" w:name="purpose-11"/>
      <w:r>
        <w:rPr/>
        <w:t>This means network A has 1.5 times the measured economic performance of network B under the current methodology. It does not automatically mean one transferable VOX-A token must trade for exactly 1.5 VOX-B tokens.</w:t>
      </w:r>
      <w:bookmarkEnd w:id="399"/>
    </w:p>
    <w:p>
      <w:pPr>
        <w:pStyle w:val="Heading2"/>
        <w:keepNext w:val="true"/>
        <w:keepLines/>
        <w:widowControl/>
        <w:rPr/>
      </w:pPr>
      <w:bookmarkStart w:id="400" w:name="__RefHeading___Toc8569_528838595"/>
      <w:bookmarkEnd w:id="400"/>
      <w:r>
        <w:rPr/>
        <w:t>24.2 Reference rate and market rate</w:t>
      </w:r>
    </w:p>
    <w:p>
      <w:pPr>
        <w:pStyle w:val="Normal"/>
        <w:rPr/>
      </w:pPr>
      <w:r>
        <w:rPr/>
        <w:t>V-FOREX distinguishes:</w:t>
      </w:r>
    </w:p>
    <w:p>
      <w:pPr>
        <w:pStyle w:val="Compact"/>
        <w:widowControl/>
        <w:numPr>
          <w:ilvl w:val="0"/>
          <w:numId w:val="1189"/>
        </w:numPr>
        <w:rPr/>
      </w:pPr>
      <w:r>
        <w:rPr>
          <w:b/>
          <w:bCs/>
        </w:rPr>
        <w:t>reference rate</w:t>
      </w:r>
      <w:r>
        <w:rPr/>
        <w:t xml:space="preserve"> — calculated from VTS;</w:t>
      </w:r>
    </w:p>
    <w:p>
      <w:pPr>
        <w:pStyle w:val="Compact"/>
        <w:widowControl/>
        <w:numPr>
          <w:ilvl w:val="0"/>
          <w:numId w:val="1190"/>
        </w:numPr>
        <w:rPr/>
      </w:pPr>
      <w:r>
        <w:rPr>
          <w:b/>
          <w:bCs/>
        </w:rPr>
        <w:t>market rate</w:t>
      </w:r>
      <w:r>
        <w:rPr/>
        <w:t xml:space="preserve"> — executable price in a real market;</w:t>
      </w:r>
    </w:p>
    <w:p>
      <w:pPr>
        <w:pStyle w:val="Compact"/>
        <w:widowControl/>
        <w:numPr>
          <w:ilvl w:val="0"/>
          <w:numId w:val="1191"/>
        </w:numPr>
        <w:rPr/>
      </w:pPr>
      <w:r>
        <w:rPr>
          <w:b/>
          <w:bCs/>
        </w:rPr>
        <w:t>premium or discount</w:t>
      </w:r>
      <w:r>
        <w:rPr/>
        <w:t xml:space="preserve"> — divergence between the two.</w:t>
      </w:r>
    </w:p>
    <w:p>
      <w:pPr>
        <w:pStyle w:val="Normal"/>
        <w:keepLines/>
        <w:spacing w:before="80" w:after="160"/>
        <w:jc w:val="center"/>
        <w:rPr/>
      </w:pPr>
      <w:r>
        <w:rPr/>
        <w:drawing>
          <wp:inline distT="0" distB="0" distL="0" distR="0">
            <wp:extent cx="3785870" cy="498475"/>
            <wp:effectExtent l="0" t="0" r="0" b="0"/>
            <wp:docPr id="44" name="Picture 44" descr="Equation&#10;\mathrm{Premium/Discount}_{A/B}=\frac{R_{\mathrm{market}}(A/B)}{R_{\mathrm{ref}}(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quation&#10;\mathrm{Premium/Discount}_{A/B}=\frac{R_{\mathrm{market}}(A/B)}{R_{\mathrm{ref}}(A/B)}-1"/>
                    <pic:cNvPicPr>
                      <a:picLocks noChangeAspect="1" noChangeArrowheads="1"/>
                    </pic:cNvPicPr>
                  </pic:nvPicPr>
                  <pic:blipFill>
                    <a:blip r:embed="rId45"/>
                    <a:stretch>
                      <a:fillRect/>
                    </a:stretch>
                  </pic:blipFill>
                  <pic:spPr bwMode="auto">
                    <a:xfrm>
                      <a:off x="0" y="0"/>
                      <a:ext cx="3785870" cy="498475"/>
                    </a:xfrm>
                    <a:prstGeom prst="rect">
                      <a:avLst/>
                    </a:prstGeom>
                    <a:noFill/>
                  </pic:spPr>
                </pic:pic>
              </a:graphicData>
            </a:graphic>
          </wp:inline>
        </w:drawing>
      </w:r>
    </w:p>
    <w:p>
      <w:pPr>
        <w:pStyle w:val="Normal"/>
        <w:rPr/>
      </w:pPr>
      <w:bookmarkStart w:id="401" w:name="reference-rate-and-market-rate"/>
      <w:r>
        <w:rPr/>
        <w:t>A positive value indicates that VOX-A trades above the VTS reference relative to VOX-B. A negative value indicates a discount.</w:t>
      </w:r>
      <w:bookmarkEnd w:id="401"/>
    </w:p>
    <w:p>
      <w:pPr>
        <w:pStyle w:val="Heading2"/>
        <w:keepNext w:val="true"/>
        <w:keepLines/>
        <w:widowControl/>
        <w:rPr/>
      </w:pPr>
      <w:bookmarkStart w:id="402" w:name="__RefHeading___Toc8571_528838595"/>
      <w:bookmarkEnd w:id="402"/>
      <w:r>
        <w:rPr/>
        <w:t>24.3 Why divergence can persist</w:t>
      </w:r>
    </w:p>
    <w:p>
      <w:pPr>
        <w:pStyle w:val="Normal"/>
        <w:rPr/>
      </w:pPr>
      <w:r>
        <w:rPr/>
        <w:t>Divergence is not automatically an arbitrage. It may persist because of:</w:t>
      </w:r>
    </w:p>
    <w:p>
      <w:pPr>
        <w:pStyle w:val="Compact"/>
        <w:widowControl/>
        <w:numPr>
          <w:ilvl w:val="0"/>
          <w:numId w:val="1192"/>
        </w:numPr>
        <w:rPr/>
      </w:pPr>
      <w:r>
        <w:rPr/>
        <w:t>different token rights or utility;</w:t>
      </w:r>
    </w:p>
    <w:p>
      <w:pPr>
        <w:pStyle w:val="Compact"/>
        <w:widowControl/>
        <w:numPr>
          <w:ilvl w:val="0"/>
          <w:numId w:val="1193"/>
        </w:numPr>
        <w:rPr/>
      </w:pPr>
      <w:r>
        <w:rPr/>
        <w:t>supply and free-float differences;</w:t>
      </w:r>
    </w:p>
    <w:p>
      <w:pPr>
        <w:pStyle w:val="Compact"/>
        <w:widowControl/>
        <w:numPr>
          <w:ilvl w:val="0"/>
          <w:numId w:val="1194"/>
        </w:numPr>
        <w:rPr/>
      </w:pPr>
      <w:r>
        <w:rPr/>
        <w:t>bridge and settlement risk;</w:t>
      </w:r>
    </w:p>
    <w:p>
      <w:pPr>
        <w:pStyle w:val="Compact"/>
        <w:widowControl/>
        <w:numPr>
          <w:ilvl w:val="0"/>
          <w:numId w:val="1195"/>
        </w:numPr>
        <w:rPr/>
      </w:pPr>
      <w:r>
        <w:rPr/>
        <w:t>transaction costs;</w:t>
      </w:r>
    </w:p>
    <w:p>
      <w:pPr>
        <w:pStyle w:val="Compact"/>
        <w:widowControl/>
        <w:numPr>
          <w:ilvl w:val="0"/>
          <w:numId w:val="1196"/>
        </w:numPr>
        <w:rPr/>
      </w:pPr>
      <w:r>
        <w:rPr/>
        <w:t>market access and regulation;</w:t>
      </w:r>
    </w:p>
    <w:p>
      <w:pPr>
        <w:pStyle w:val="Compact"/>
        <w:widowControl/>
        <w:numPr>
          <w:ilvl w:val="0"/>
          <w:numId w:val="1197"/>
        </w:numPr>
        <w:rPr/>
      </w:pPr>
      <w:r>
        <w:rPr/>
        <w:t>liquidity constraints;</w:t>
      </w:r>
    </w:p>
    <w:p>
      <w:pPr>
        <w:pStyle w:val="Compact"/>
        <w:widowControl/>
        <w:numPr>
          <w:ilvl w:val="0"/>
          <w:numId w:val="1198"/>
        </w:numPr>
        <w:rPr/>
      </w:pPr>
      <w:r>
        <w:rPr/>
        <w:t>expectations about future VTS;</w:t>
      </w:r>
    </w:p>
    <w:p>
      <w:pPr>
        <w:pStyle w:val="Compact"/>
        <w:widowControl/>
        <w:numPr>
          <w:ilvl w:val="0"/>
          <w:numId w:val="1199"/>
        </w:numPr>
        <w:rPr/>
      </w:pPr>
      <w:r>
        <w:rPr/>
        <w:t>governance and implementation risk.</w:t>
      </w:r>
    </w:p>
    <w:p>
      <w:pPr>
        <w:pStyle w:val="Normal"/>
        <w:rPr/>
      </w:pPr>
      <w:bookmarkStart w:id="403" w:name="why-divergence-can-persist"/>
      <w:r>
        <w:rPr/>
        <w:t>Arbitrage is risk-free only where a reliable conversion or redemption path enforces the relationship. V-FOREX does not claim such a path by default.</w:t>
      </w:r>
      <w:bookmarkEnd w:id="403"/>
    </w:p>
    <w:p>
      <w:pPr>
        <w:pStyle w:val="Heading2"/>
        <w:keepNext w:val="true"/>
        <w:keepLines/>
        <w:widowControl/>
        <w:rPr/>
      </w:pPr>
      <w:bookmarkStart w:id="404" w:name="__RefHeading___Toc8573_528838595"/>
      <w:bookmarkEnd w:id="404"/>
      <w:r>
        <w:rPr/>
        <w:t>24.4 Index-only V-FOREX</w:t>
      </w:r>
    </w:p>
    <w:p>
      <w:pPr>
        <w:pStyle w:val="Normal"/>
        <w:rPr/>
      </w:pPr>
      <w:r>
        <w:rPr/>
        <w:t>The initial implementation should operate as an index layer. VoxUI publishes reference pairs and historical relative performance without requiring tradable assets.</w:t>
      </w:r>
    </w:p>
    <w:p>
      <w:pPr>
        <w:pStyle w:val="BodyText"/>
        <w:widowControl/>
        <w:rPr/>
      </w:pPr>
      <w:r>
        <w:rPr/>
        <w:t>Benefits include:</w:t>
      </w:r>
    </w:p>
    <w:p>
      <w:pPr>
        <w:pStyle w:val="Compact"/>
        <w:widowControl/>
        <w:numPr>
          <w:ilvl w:val="0"/>
          <w:numId w:val="1200"/>
        </w:numPr>
        <w:rPr/>
      </w:pPr>
      <w:r>
        <w:rPr/>
        <w:t>immediate cross-chain comparison;</w:t>
      </w:r>
    </w:p>
    <w:p>
      <w:pPr>
        <w:pStyle w:val="Compact"/>
        <w:widowControl/>
        <w:numPr>
          <w:ilvl w:val="0"/>
          <w:numId w:val="1201"/>
        </w:numPr>
        <w:rPr/>
      </w:pPr>
      <w:r>
        <w:rPr/>
        <w:t>no bridge or liquidity risk;</w:t>
      </w:r>
    </w:p>
    <w:p>
      <w:pPr>
        <w:pStyle w:val="Compact"/>
        <w:widowControl/>
        <w:numPr>
          <w:ilvl w:val="0"/>
          <w:numId w:val="1202"/>
        </w:numPr>
        <w:rPr/>
      </w:pPr>
      <w:r>
        <w:rPr/>
        <w:t>transparent methodology testing;</w:t>
      </w:r>
    </w:p>
    <w:p>
      <w:pPr>
        <w:pStyle w:val="Compact"/>
        <w:widowControl/>
        <w:numPr>
          <w:ilvl w:val="0"/>
          <w:numId w:val="1203"/>
        </w:numPr>
        <w:rPr/>
      </w:pPr>
      <w:r>
        <w:rPr/>
        <w:t>ability to backtest pair behaviour;</w:t>
      </w:r>
    </w:p>
    <w:p>
      <w:pPr>
        <w:pStyle w:val="Compact"/>
        <w:widowControl/>
        <w:numPr>
          <w:ilvl w:val="0"/>
          <w:numId w:val="1204"/>
        </w:numPr>
        <w:rPr/>
      </w:pPr>
      <w:bookmarkStart w:id="405" w:name="index-only-v-forex"/>
      <w:r>
        <w:rPr/>
        <w:t>separation of measurement research from token speculation.</w:t>
      </w:r>
      <w:bookmarkEnd w:id="405"/>
    </w:p>
    <w:p>
      <w:pPr>
        <w:pStyle w:val="Heading2"/>
        <w:keepNext w:val="true"/>
        <w:keepLines/>
        <w:widowControl/>
        <w:rPr/>
      </w:pPr>
      <w:bookmarkStart w:id="406" w:name="__RefHeading___Toc8575_528838595"/>
      <w:bookmarkEnd w:id="406"/>
      <w:r>
        <w:rPr/>
        <w:t>24.5 Tradable V-FOREX</w:t>
      </w:r>
    </w:p>
    <w:p>
      <w:pPr>
        <w:pStyle w:val="Normal"/>
        <w:rPr/>
      </w:pPr>
      <w:r>
        <w:rPr/>
        <w:t>A tradable implementation requires additional safeguards:</w:t>
      </w:r>
    </w:p>
    <w:p>
      <w:pPr>
        <w:pStyle w:val="Compact"/>
        <w:widowControl/>
        <w:numPr>
          <w:ilvl w:val="0"/>
          <w:numId w:val="1205"/>
        </w:numPr>
        <w:rPr/>
      </w:pPr>
      <w:r>
        <w:rPr/>
        <w:t>sufficient two-sided liquidity;</w:t>
      </w:r>
    </w:p>
    <w:p>
      <w:pPr>
        <w:pStyle w:val="Compact"/>
        <w:widowControl/>
        <w:numPr>
          <w:ilvl w:val="0"/>
          <w:numId w:val="1206"/>
        </w:numPr>
        <w:rPr/>
      </w:pPr>
      <w:r>
        <w:rPr/>
        <w:t>market-maker concentration limits;</w:t>
      </w:r>
    </w:p>
    <w:p>
      <w:pPr>
        <w:pStyle w:val="Compact"/>
        <w:widowControl/>
        <w:numPr>
          <w:ilvl w:val="0"/>
          <w:numId w:val="1207"/>
        </w:numPr>
        <w:rPr/>
      </w:pPr>
      <w:r>
        <w:rPr/>
        <w:t>transparent pool and routing design;</w:t>
      </w:r>
    </w:p>
    <w:p>
      <w:pPr>
        <w:pStyle w:val="Compact"/>
        <w:widowControl/>
        <w:numPr>
          <w:ilvl w:val="0"/>
          <w:numId w:val="1208"/>
        </w:numPr>
        <w:rPr/>
      </w:pPr>
      <w:r>
        <w:rPr/>
        <w:t>manipulation surveillance;</w:t>
      </w:r>
    </w:p>
    <w:p>
      <w:pPr>
        <w:pStyle w:val="Compact"/>
        <w:widowControl/>
        <w:numPr>
          <w:ilvl w:val="0"/>
          <w:numId w:val="1209"/>
        </w:numPr>
        <w:rPr/>
      </w:pPr>
      <w:r>
        <w:rPr/>
        <w:t>circuit breakers;</w:t>
      </w:r>
    </w:p>
    <w:p>
      <w:pPr>
        <w:pStyle w:val="Compact"/>
        <w:widowControl/>
        <w:numPr>
          <w:ilvl w:val="0"/>
          <w:numId w:val="1210"/>
        </w:numPr>
        <w:rPr/>
      </w:pPr>
      <w:r>
        <w:rPr/>
        <w:t>bridge and message verification;</w:t>
      </w:r>
    </w:p>
    <w:p>
      <w:pPr>
        <w:pStyle w:val="Compact"/>
        <w:widowControl/>
        <w:numPr>
          <w:ilvl w:val="0"/>
          <w:numId w:val="1211"/>
        </w:numPr>
        <w:rPr/>
      </w:pPr>
      <w:r>
        <w:rPr/>
        <w:t>oracle-failure handling;</w:t>
      </w:r>
    </w:p>
    <w:p>
      <w:pPr>
        <w:pStyle w:val="Compact"/>
        <w:widowControl/>
        <w:numPr>
          <w:ilvl w:val="0"/>
          <w:numId w:val="1212"/>
        </w:numPr>
        <w:rPr/>
      </w:pPr>
      <w:r>
        <w:rPr/>
        <w:t>liquidation and collateral parameters;</w:t>
      </w:r>
    </w:p>
    <w:p>
      <w:pPr>
        <w:pStyle w:val="Compact"/>
        <w:widowControl/>
        <w:numPr>
          <w:ilvl w:val="0"/>
          <w:numId w:val="1213"/>
        </w:numPr>
        <w:rPr/>
      </w:pPr>
      <w:bookmarkStart w:id="407" w:name="tradable-v-forex"/>
      <w:r>
        <w:rPr/>
        <w:t>legal review of market structure.</w:t>
      </w:r>
      <w:bookmarkEnd w:id="407"/>
    </w:p>
    <w:p>
      <w:pPr>
        <w:pStyle w:val="Heading2"/>
        <w:keepNext w:val="true"/>
        <w:keepLines/>
        <w:widowControl/>
        <w:rPr/>
      </w:pPr>
      <w:bookmarkStart w:id="408" w:name="__RefHeading___Toc8577_528838595"/>
      <w:bookmarkEnd w:id="408"/>
      <w:r>
        <w:rPr/>
        <w:t>24.6 Pair construction</w:t>
      </w:r>
    </w:p>
    <w:p>
      <w:pPr>
        <w:pStyle w:val="Normal"/>
        <w:rPr/>
      </w:pPr>
      <w:r>
        <w:rPr/>
        <w:t>Every pair uses the same convention:</w:t>
      </w:r>
    </w:p>
    <w:p>
      <w:pPr>
        <w:pStyle w:val="BodyText"/>
        <w:keepLines/>
        <w:spacing w:before="80" w:after="160"/>
        <w:jc w:val="center"/>
        <w:rPr/>
      </w:pPr>
      <w:r>
        <w:rPr/>
        <w:drawing>
          <wp:inline distT="0" distB="0" distL="0" distR="0">
            <wp:extent cx="1949450" cy="504825"/>
            <wp:effectExtent l="0" t="0" r="0" b="0"/>
            <wp:docPr id="45" name="Picture 45" descr="Equation&#10;R_{\mathrm{ref}}\!\left(\frac{\mathrm{Base}}{\mathrm{Quote}}\right)=\frac{VTS_{\mathrm{Base}}}{VTS_{\mathrm{Qu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quation&#10;R_{\mathrm{ref}}\!\left(\frac{\mathrm{Base}}{\mathrm{Quote}}\right)=\frac{VTS_{\mathrm{Base}}}{VTS_{\mathrm{Quote}}}"/>
                    <pic:cNvPicPr>
                      <a:picLocks noChangeAspect="1" noChangeArrowheads="1"/>
                    </pic:cNvPicPr>
                  </pic:nvPicPr>
                  <pic:blipFill>
                    <a:blip r:embed="rId46"/>
                    <a:stretch>
                      <a:fillRect/>
                    </a:stretch>
                  </pic:blipFill>
                  <pic:spPr bwMode="auto">
                    <a:xfrm>
                      <a:off x="0" y="0"/>
                      <a:ext cx="1949450" cy="504825"/>
                    </a:xfrm>
                    <a:prstGeom prst="rect">
                      <a:avLst/>
                    </a:prstGeom>
                    <a:noFill/>
                  </pic:spPr>
                </pic:pic>
              </a:graphicData>
            </a:graphic>
          </wp:inline>
        </w:drawing>
      </w:r>
    </w:p>
    <w:p>
      <w:pPr>
        <w:pStyle w:val="Normal"/>
        <w:rPr/>
      </w:pPr>
      <w:bookmarkStart w:id="409" w:name="pair-construction"/>
      <w:r>
        <w:rPr/>
        <w:t>The timestamp, methodology version, ERU version and confidence of both networks are part of the quote. A pair inherits the lower of the two VCS values unless the pair construction introduces additional uncertainty.</w:t>
      </w:r>
      <w:bookmarkEnd w:id="409"/>
    </w:p>
    <w:p>
      <w:pPr>
        <w:pStyle w:val="Heading2"/>
        <w:keepNext w:val="true"/>
        <w:keepLines/>
        <w:widowControl/>
        <w:rPr/>
      </w:pPr>
      <w:bookmarkStart w:id="410" w:name="__RefHeading___Toc8579_528838595"/>
      <w:bookmarkEnd w:id="410"/>
      <w:r>
        <w:rPr/>
        <w:t>24.7 Updating and stale rates</w:t>
      </w:r>
    </w:p>
    <w:p>
      <w:pPr>
        <w:pStyle w:val="Normal"/>
        <w:rPr/>
      </w:pPr>
      <w:bookmarkStart w:id="411" w:name="updating-and-stale-rates"/>
      <w:r>
        <w:rPr/>
        <w:t>Reference rates update after validated VTS publication. If one network’s score is suspended or stale, the pair is flagged. It may continue to display the last valid reference with timestamp, but it cannot appear as current.</w:t>
      </w:r>
      <w:bookmarkEnd w:id="411"/>
    </w:p>
    <w:p>
      <w:pPr>
        <w:pStyle w:val="Heading2"/>
        <w:keepNext w:val="true"/>
        <w:keepLines/>
        <w:widowControl/>
        <w:rPr/>
      </w:pPr>
      <w:bookmarkStart w:id="412" w:name="__RefHeading___Toc8581_528838595"/>
      <w:bookmarkEnd w:id="412"/>
      <w:r>
        <w:rPr/>
        <w:t>24.8 Long-term research value</w:t>
      </w:r>
    </w:p>
    <w:p>
      <w:pPr>
        <w:pStyle w:val="Normal"/>
        <w:rPr/>
      </w:pPr>
      <w:bookmarkStart w:id="413" w:name="long-term-research-value"/>
      <w:bookmarkStart w:id="414" w:name="vox-digital-forex-market-v-forex"/>
      <w:r>
        <w:rPr/>
        <w:t>V-FOREX creates a new dataset: relative economic-performance histories across networks. Researchers can study whether market prices converge toward, lead or diverge from measured fundamentals, and whether specific indices explain long-term network outcomes.</w:t>
      </w:r>
      <w:bookmarkEnd w:id="413"/>
      <w:bookmarkEnd w:id="414"/>
    </w:p>
    <w:p>
      <w:pPr>
        <w:pStyle w:val="Heading1"/>
        <w:keepNext w:val="true"/>
        <w:keepLines/>
        <w:widowControl/>
        <w:pBdr>
          <w:bottom w:val="single" w:sz="6" w:space="5" w:color="8AB2BF"/>
        </w:pBdr>
        <w:jc w:val="left"/>
        <w:rPr/>
      </w:pPr>
      <w:bookmarkStart w:id="415" w:name="__RefHeading___Toc8583_528838595"/>
      <w:bookmarkEnd w:id="415"/>
      <w:r>
        <w:rPr/>
        <w:t>25. Market, Cross-Chain and Settlement Risks</w:t>
      </w:r>
    </w:p>
    <w:p>
      <w:pPr>
        <w:pStyle w:val="Heading2"/>
        <w:keepNext w:val="true"/>
        <w:keepLines/>
        <w:widowControl/>
        <w:rPr/>
      </w:pPr>
      <w:bookmarkStart w:id="416" w:name="__RefHeading___Toc8585_528838595"/>
      <w:bookmarkEnd w:id="416"/>
      <w:r>
        <w:rPr/>
        <w:t>25.1 Liquidity risk</w:t>
      </w:r>
    </w:p>
    <w:p>
      <w:pPr>
        <w:pStyle w:val="Normal"/>
        <w:rPr/>
      </w:pPr>
      <w:r>
        <w:rPr/>
        <w:t>A reference ratio does not create liquidity. Tradable VOX markets can become fragmented across chains, pools and bridges. Thin liquidity increases slippage, manipulation risk and liquidation instability.</w:t>
      </w:r>
    </w:p>
    <w:p>
      <w:pPr>
        <w:pStyle w:val="BodyText"/>
        <w:widowControl/>
        <w:rPr/>
      </w:pPr>
      <w:bookmarkStart w:id="417" w:name="liquidity-risk"/>
      <w:r>
        <w:rPr/>
        <w:t>Mitigations include minimum depth thresholds, protocol-owned liquidity limits, transparent incentives, multi-venue routing and suspension of high-risk collateral use.</w:t>
      </w:r>
      <w:bookmarkEnd w:id="417"/>
    </w:p>
    <w:p>
      <w:pPr>
        <w:pStyle w:val="Heading2"/>
        <w:keepNext w:val="true"/>
        <w:keepLines/>
        <w:widowControl/>
        <w:rPr/>
      </w:pPr>
      <w:bookmarkStart w:id="418" w:name="__RefHeading___Toc8587_528838595"/>
      <w:bookmarkEnd w:id="418"/>
      <w:r>
        <w:rPr/>
        <w:t>25.2 Bridge risk</w:t>
      </w:r>
    </w:p>
    <w:p>
      <w:pPr>
        <w:pStyle w:val="Normal"/>
        <w:rPr/>
      </w:pPr>
      <w:r>
        <w:rPr/>
        <w:t>Cross-chain VOX representations may rely on lock-and-mint bridges, canonical messaging, light clients, proof systems or third-party validators. Each mechanism creates different trust assumptions.</w:t>
      </w:r>
    </w:p>
    <w:p>
      <w:pPr>
        <w:pStyle w:val="BodyText"/>
        <w:widowControl/>
        <w:rPr/>
      </w:pPr>
      <w:r>
        <w:rPr/>
        <w:t>The framework requires:</w:t>
      </w:r>
    </w:p>
    <w:p>
      <w:pPr>
        <w:pStyle w:val="Compact"/>
        <w:widowControl/>
        <w:numPr>
          <w:ilvl w:val="0"/>
          <w:numId w:val="1214"/>
        </w:numPr>
        <w:rPr/>
      </w:pPr>
      <w:r>
        <w:rPr/>
        <w:t>canonical representation registry;</w:t>
      </w:r>
    </w:p>
    <w:p>
      <w:pPr>
        <w:pStyle w:val="Compact"/>
        <w:widowControl/>
        <w:numPr>
          <w:ilvl w:val="0"/>
          <w:numId w:val="1215"/>
        </w:numPr>
        <w:rPr/>
      </w:pPr>
      <w:r>
        <w:rPr/>
        <w:t>proof of locked and circulating supply;</w:t>
      </w:r>
    </w:p>
    <w:p>
      <w:pPr>
        <w:pStyle w:val="Compact"/>
        <w:widowControl/>
        <w:numPr>
          <w:ilvl w:val="0"/>
          <w:numId w:val="1216"/>
        </w:numPr>
        <w:rPr/>
      </w:pPr>
      <w:r>
        <w:rPr/>
        <w:t>bridge security assessment;</w:t>
      </w:r>
    </w:p>
    <w:p>
      <w:pPr>
        <w:pStyle w:val="Compact"/>
        <w:widowControl/>
        <w:numPr>
          <w:ilvl w:val="0"/>
          <w:numId w:val="1217"/>
        </w:numPr>
        <w:rPr/>
      </w:pPr>
      <w:r>
        <w:rPr/>
        <w:t>limits on unverified wrapped representations;</w:t>
      </w:r>
    </w:p>
    <w:p>
      <w:pPr>
        <w:pStyle w:val="Compact"/>
        <w:widowControl/>
        <w:numPr>
          <w:ilvl w:val="0"/>
          <w:numId w:val="1218"/>
        </w:numPr>
        <w:rPr/>
      </w:pPr>
      <w:r>
        <w:rPr/>
        <w:t>rapid suspension and reconciliation procedures;</w:t>
      </w:r>
    </w:p>
    <w:p>
      <w:pPr>
        <w:pStyle w:val="Compact"/>
        <w:widowControl/>
        <w:numPr>
          <w:ilvl w:val="0"/>
          <w:numId w:val="1219"/>
        </w:numPr>
        <w:rPr/>
      </w:pPr>
      <w:bookmarkStart w:id="419" w:name="bridge-risk"/>
      <w:r>
        <w:rPr/>
        <w:t>avoidance of double counting across chains.</w:t>
      </w:r>
      <w:bookmarkEnd w:id="419"/>
    </w:p>
    <w:p>
      <w:pPr>
        <w:pStyle w:val="Heading2"/>
        <w:keepNext w:val="true"/>
        <w:keepLines/>
        <w:widowControl/>
        <w:rPr/>
      </w:pPr>
      <w:bookmarkStart w:id="420" w:name="__RefHeading___Toc8589_528838595"/>
      <w:bookmarkEnd w:id="420"/>
      <w:r>
        <w:rPr/>
        <w:t>25.3 Oracle and reference risk</w:t>
      </w:r>
    </w:p>
    <w:p>
      <w:pPr>
        <w:pStyle w:val="Normal"/>
        <w:rPr/>
      </w:pPr>
      <w:r>
        <w:rPr/>
        <w:t>If contracts use VTS or V-FOREX rates, they depend on timely and correct publication. A secure design uses multiple signed publishers, on-chain verification where possible, freshness limits, deviation checks and delayed governance-controlled upgrades.</w:t>
      </w:r>
    </w:p>
    <w:p>
      <w:pPr>
        <w:pStyle w:val="BodyText"/>
        <w:widowControl/>
        <w:rPr/>
      </w:pPr>
      <w:bookmarkStart w:id="421" w:name="oracle-and-reference-risk"/>
      <w:r>
        <w:rPr/>
        <w:t>Oracles transport an approved result; they do not privately determine the score.</w:t>
      </w:r>
      <w:bookmarkEnd w:id="421"/>
    </w:p>
    <w:p>
      <w:pPr>
        <w:pStyle w:val="Heading2"/>
        <w:keepNext w:val="true"/>
        <w:keepLines/>
        <w:widowControl/>
        <w:rPr/>
      </w:pPr>
      <w:bookmarkStart w:id="422" w:name="__RefHeading___Toc8591_528838595"/>
      <w:bookmarkEnd w:id="422"/>
      <w:r>
        <w:rPr/>
        <w:t>25.4 Manipulation risk</w:t>
      </w:r>
    </w:p>
    <w:p>
      <w:pPr>
        <w:pStyle w:val="Normal"/>
        <w:rPr/>
      </w:pPr>
      <w:r>
        <w:rPr/>
        <w:t>Attackers may attempt to inflate activity, liquidity, governance participation or adoption before a calculation. Anti-manipulation controls include smoothing, persistence, entity concentration, subsidy adjustment, standard trade simulations, cross-source checks and maximum update rates.</w:t>
      </w:r>
    </w:p>
    <w:p>
      <w:pPr>
        <w:pStyle w:val="BodyText"/>
        <w:widowControl/>
        <w:rPr/>
      </w:pPr>
      <w:bookmarkStart w:id="423" w:name="manipulation-risk"/>
      <w:r>
        <w:rPr/>
        <w:t>Economic security analysis must estimate the cost of manipulating each component relative to the potential gain from VOX issuance or derivative exposure.</w:t>
      </w:r>
      <w:bookmarkEnd w:id="423"/>
    </w:p>
    <w:p>
      <w:pPr>
        <w:pStyle w:val="Heading2"/>
        <w:keepNext w:val="true"/>
        <w:keepLines/>
        <w:widowControl/>
        <w:rPr/>
      </w:pPr>
      <w:bookmarkStart w:id="424" w:name="__RefHeading___Toc8593_528838595"/>
      <w:bookmarkEnd w:id="424"/>
      <w:r>
        <w:rPr/>
        <w:t>25.5 Reflexivity</w:t>
      </w:r>
    </w:p>
    <w:p>
      <w:pPr>
        <w:pStyle w:val="Normal"/>
        <w:rPr/>
      </w:pPr>
      <w:bookmarkStart w:id="425" w:name="reflexivity"/>
      <w:r>
        <w:rPr/>
        <w:t>A successful VOX market could influence the network it measures. Higher VOX liquidity may attract activity, while a declining score may reduce confidence. Edition 3.1 prevents direct circularity by excluding VOX-specific market activity from DLI and PoV for the same network unless it is clearly classified as an external output and capped. Reflexive effects remain a research and risk consideration.</w:t>
      </w:r>
      <w:bookmarkEnd w:id="425"/>
    </w:p>
    <w:p>
      <w:pPr>
        <w:pStyle w:val="Heading2"/>
        <w:keepNext w:val="true"/>
        <w:keepLines/>
        <w:widowControl/>
        <w:rPr/>
      </w:pPr>
      <w:bookmarkStart w:id="426" w:name="__RefHeading___Toc8595_528838595"/>
      <w:bookmarkEnd w:id="426"/>
      <w:r>
        <w:rPr/>
        <w:t>25.6 Governance and parameter risk</w:t>
      </w:r>
    </w:p>
    <w:p>
      <w:pPr>
        <w:pStyle w:val="Normal"/>
        <w:rPr/>
      </w:pPr>
      <w:bookmarkStart w:id="427" w:name="governance-and-parameter-risk"/>
      <w:r>
        <w:rPr/>
        <w:t>Even universal parameters can be harmful if calibrated poorly. Every market-affecting parameter requires simulation across historical stress periods, delayed activation, rollback planning and clear limits on emergency intervention.</w:t>
      </w:r>
      <w:bookmarkEnd w:id="427"/>
    </w:p>
    <w:p>
      <w:pPr>
        <w:pStyle w:val="Heading2"/>
        <w:keepNext w:val="true"/>
        <w:keepLines/>
        <w:widowControl/>
        <w:rPr/>
      </w:pPr>
      <w:bookmarkStart w:id="428" w:name="__RefHeading___Toc8597_528838595"/>
      <w:bookmarkEnd w:id="428"/>
      <w:r>
        <w:rPr/>
        <w:t>25.7 Legal and regulatory risk</w:t>
      </w:r>
    </w:p>
    <w:p>
      <w:pPr>
        <w:pStyle w:val="Normal"/>
        <w:rPr/>
      </w:pPr>
      <w:bookmarkStart w:id="429" w:name="legal-and-regulatory-risk"/>
      <w:r>
        <w:rPr/>
        <w:t>A transferable VOX unit may be treated differently across jurisdictions depending on rights, distribution, governance, marketing and market use. No implementation should proceed without jurisdiction-specific advice. The analytical measurement framework can remain open research even where tokenised implementation is restricted.</w:t>
      </w:r>
      <w:bookmarkEnd w:id="429"/>
    </w:p>
    <w:p>
      <w:pPr>
        <w:pStyle w:val="Heading2"/>
        <w:keepNext w:val="true"/>
        <w:keepLines/>
        <w:widowControl/>
        <w:rPr/>
      </w:pPr>
      <w:bookmarkStart w:id="430" w:name="__RefHeading___Toc8599_528838595"/>
      <w:bookmarkEnd w:id="430"/>
      <w:r>
        <w:rPr/>
        <w:t>25.8 Safe-mode hierarchy</w:t>
      </w:r>
    </w:p>
    <w:p>
      <w:pPr>
        <w:pStyle w:val="Normal"/>
        <w:rPr/>
      </w:pPr>
      <w:r>
        <w:rPr/>
        <w:t>The optional economic layer uses a pre-defined safe-mode hierarchy:</w:t>
      </w:r>
    </w:p>
    <w:p>
      <w:pPr>
        <w:pStyle w:val="Compact"/>
        <w:widowControl/>
        <w:numPr>
          <w:ilvl w:val="0"/>
          <w:numId w:val="1220"/>
        </w:numPr>
        <w:rPr/>
      </w:pPr>
      <w:r>
        <w:rPr/>
        <w:t>flag anomalous data;</w:t>
      </w:r>
    </w:p>
    <w:p>
      <w:pPr>
        <w:pStyle w:val="Compact"/>
        <w:widowControl/>
        <w:numPr>
          <w:ilvl w:val="0"/>
          <w:numId w:val="1221"/>
        </w:numPr>
        <w:rPr/>
      </w:pPr>
      <w:r>
        <w:rPr/>
        <w:t>pause new reference publication if validation fails;</w:t>
      </w:r>
    </w:p>
    <w:p>
      <w:pPr>
        <w:pStyle w:val="Compact"/>
        <w:widowControl/>
        <w:numPr>
          <w:ilvl w:val="0"/>
          <w:numId w:val="1222"/>
        </w:numPr>
        <w:rPr/>
      </w:pPr>
      <w:r>
        <w:rPr/>
        <w:t>freeze new issuance while preserving balances;</w:t>
      </w:r>
    </w:p>
    <w:p>
      <w:pPr>
        <w:pStyle w:val="Compact"/>
        <w:widowControl/>
        <w:numPr>
          <w:ilvl w:val="0"/>
          <w:numId w:val="1223"/>
        </w:numPr>
        <w:rPr/>
      </w:pPr>
      <w:r>
        <w:rPr/>
        <w:t>disable use as collateral or settlement reference;</w:t>
      </w:r>
    </w:p>
    <w:p>
      <w:pPr>
        <w:pStyle w:val="Compact"/>
        <w:widowControl/>
        <w:numPr>
          <w:ilvl w:val="0"/>
          <w:numId w:val="1224"/>
        </w:numPr>
        <w:rPr/>
      </w:pPr>
      <w:r>
        <w:rPr/>
        <w:t>isolate compromised bridges or markets;</w:t>
      </w:r>
    </w:p>
    <w:p>
      <w:pPr>
        <w:pStyle w:val="Compact"/>
        <w:widowControl/>
        <w:numPr>
          <w:ilvl w:val="0"/>
          <w:numId w:val="1225"/>
        </w:numPr>
        <w:rPr/>
      </w:pPr>
      <w:r>
        <w:rPr/>
        <w:t>execute governed recovery and publish a full post-mortem.</w:t>
      </w:r>
    </w:p>
    <w:p>
      <w:pPr>
        <w:pStyle w:val="Normal"/>
        <w:rPr/>
      </w:pPr>
      <w:bookmarkStart w:id="431" w:name="safe-mode-hierarchy"/>
      <w:bookmarkStart w:id="432" w:name="market-cross-chain-and-settlement-risks"/>
      <w:r>
        <w:rPr/>
        <w:t>Safe mode cannot be used to conceal ordinary negative performance.</w:t>
      </w:r>
      <w:bookmarkEnd w:id="431"/>
      <w:bookmarkEnd w:id="432"/>
      <w:r>
        <w:br w:type="page"/>
      </w:r>
    </w:p>
    <w:p>
      <w:pPr>
        <w:pStyle w:val="PartTitle"/>
        <w:spacing w:before="0" w:after="360"/>
        <w:rPr/>
      </w:pPr>
      <w:bookmarkStart w:id="433" w:name="__RefHeading___Toc8601_528838595"/>
      <w:bookmarkStart w:id="434" w:name="Xffcc5006ae7ba53f85831a67d20032d5a4549e9"/>
      <w:bookmarkEnd w:id="433"/>
      <w:r>
        <w:rPr/>
        <w:t>Part VI — Governance, Transparency and Infrastructure</w:t>
      </w:r>
      <w:bookmarkEnd w:id="434"/>
    </w:p>
    <w:p>
      <w:pPr>
        <w:pStyle w:val="Heading1"/>
        <w:keepNext w:val="true"/>
        <w:keepLines/>
        <w:widowControl/>
        <w:pBdr>
          <w:bottom w:val="single" w:sz="6" w:space="5" w:color="8AB2BF"/>
        </w:pBdr>
        <w:jc w:val="left"/>
        <w:rPr/>
      </w:pPr>
      <w:bookmarkStart w:id="435" w:name="__RefHeading___Toc8603_528838595"/>
      <w:bookmarkEnd w:id="435"/>
      <w:r>
        <w:rPr/>
        <w:t>26. The VOX DAO</w:t>
      </w:r>
    </w:p>
    <w:p>
      <w:pPr>
        <w:pStyle w:val="Heading2"/>
        <w:keepNext w:val="true"/>
        <w:keepLines/>
        <w:widowControl/>
        <w:rPr/>
      </w:pPr>
      <w:bookmarkStart w:id="436" w:name="__RefHeading___Toc8605_528838595"/>
      <w:bookmarkEnd w:id="436"/>
      <w:r>
        <w:rPr/>
        <w:t>26.1 Mandate</w:t>
      </w:r>
    </w:p>
    <w:p>
      <w:pPr>
        <w:pStyle w:val="Normal"/>
        <w:rPr/>
      </w:pPr>
      <w:r>
        <w:rPr/>
        <w:t>The VOX DAO governs the universal economic measurement standard. It does not govern the measured networks, and it cannot require a network to modify its protocol. Its mandate is limited to:</w:t>
      </w:r>
    </w:p>
    <w:p>
      <w:pPr>
        <w:pStyle w:val="Compact"/>
        <w:widowControl/>
        <w:numPr>
          <w:ilvl w:val="0"/>
          <w:numId w:val="1226"/>
        </w:numPr>
        <w:rPr/>
      </w:pPr>
      <w:r>
        <w:rPr/>
        <w:t>canonical definitions and metric registry;</w:t>
      </w:r>
    </w:p>
    <w:p>
      <w:pPr>
        <w:pStyle w:val="Compact"/>
        <w:widowControl/>
        <w:numPr>
          <w:ilvl w:val="0"/>
          <w:numId w:val="1227"/>
        </w:numPr>
        <w:rPr/>
      </w:pPr>
      <w:r>
        <w:rPr/>
        <w:t>submetric selection and internal weights;</w:t>
      </w:r>
    </w:p>
    <w:p>
      <w:pPr>
        <w:pStyle w:val="Compact"/>
        <w:widowControl/>
        <w:numPr>
          <w:ilvl w:val="0"/>
          <w:numId w:val="1228"/>
        </w:numPr>
        <w:rPr/>
      </w:pPr>
      <w:r>
        <w:rPr/>
        <w:t>normalisation and benchmark versions;</w:t>
      </w:r>
    </w:p>
    <w:p>
      <w:pPr>
        <w:pStyle w:val="Compact"/>
        <w:widowControl/>
        <w:numPr>
          <w:ilvl w:val="0"/>
          <w:numId w:val="1229"/>
        </w:numPr>
        <w:rPr/>
      </w:pPr>
      <w:r>
        <w:rPr/>
        <w:t>source standards and adapter certification;</w:t>
      </w:r>
    </w:p>
    <w:p>
      <w:pPr>
        <w:pStyle w:val="Compact"/>
        <w:widowControl/>
        <w:numPr>
          <w:ilvl w:val="0"/>
          <w:numId w:val="1230"/>
        </w:numPr>
        <w:rPr/>
      </w:pPr>
      <w:r>
        <w:rPr/>
        <w:t>confidence and publication policy;</w:t>
      </w:r>
    </w:p>
    <w:p>
      <w:pPr>
        <w:pStyle w:val="Compact"/>
        <w:widowControl/>
        <w:numPr>
          <w:ilvl w:val="0"/>
          <w:numId w:val="1231"/>
        </w:numPr>
        <w:rPr/>
      </w:pPr>
      <w:r>
        <w:rPr/>
        <w:t>ERU methodology;</w:t>
      </w:r>
    </w:p>
    <w:p>
      <w:pPr>
        <w:pStyle w:val="Compact"/>
        <w:widowControl/>
        <w:numPr>
          <w:ilvl w:val="0"/>
          <w:numId w:val="1232"/>
        </w:numPr>
        <w:rPr/>
      </w:pPr>
      <w:r>
        <w:rPr/>
        <w:t>dispute and revision processes;</w:t>
      </w:r>
    </w:p>
    <w:p>
      <w:pPr>
        <w:pStyle w:val="Compact"/>
        <w:widowControl/>
        <w:numPr>
          <w:ilvl w:val="0"/>
          <w:numId w:val="1233"/>
        </w:numPr>
        <w:rPr/>
      </w:pPr>
      <w:r>
        <w:rPr/>
        <w:t>VoxUI and public API standards;</w:t>
      </w:r>
    </w:p>
    <w:p>
      <w:pPr>
        <w:pStyle w:val="Compact"/>
        <w:widowControl/>
        <w:numPr>
          <w:ilvl w:val="0"/>
          <w:numId w:val="1234"/>
        </w:numPr>
        <w:rPr/>
      </w:pPr>
      <w:r>
        <w:rPr/>
        <w:t>optional VOX and V-FOREX implementation parameters;</w:t>
      </w:r>
    </w:p>
    <w:p>
      <w:pPr>
        <w:pStyle w:val="Compact"/>
        <w:widowControl/>
        <w:numPr>
          <w:ilvl w:val="0"/>
          <w:numId w:val="1235"/>
        </w:numPr>
        <w:rPr/>
      </w:pPr>
      <w:bookmarkStart w:id="437" w:name="mandate"/>
      <w:r>
        <w:rPr/>
        <w:t>treasury funding for research, audits and public infrastructure.</w:t>
      </w:r>
      <w:bookmarkEnd w:id="437"/>
    </w:p>
    <w:p>
      <w:pPr>
        <w:pStyle w:val="Heading2"/>
        <w:keepNext w:val="true"/>
        <w:keepLines/>
        <w:widowControl/>
        <w:rPr/>
      </w:pPr>
      <w:bookmarkStart w:id="438" w:name="__RefHeading___Toc8607_528838595"/>
      <w:bookmarkEnd w:id="438"/>
      <w:r>
        <w:rPr/>
        <w:t>26.2 Constitutional restrictions</w:t>
      </w:r>
    </w:p>
    <w:p>
      <w:pPr>
        <w:pStyle w:val="Normal"/>
        <w:rPr/>
      </w:pPr>
      <w:r>
        <w:rPr/>
        <w:t>The DAO cannot, under Edition 3.1:</w:t>
      </w:r>
    </w:p>
    <w:p>
      <w:pPr>
        <w:pStyle w:val="Compact"/>
        <w:widowControl/>
        <w:numPr>
          <w:ilvl w:val="0"/>
          <w:numId w:val="1236"/>
        </w:numPr>
        <w:rPr/>
      </w:pPr>
      <w:r>
        <w:rPr/>
        <w:t>change the equal weighting of the six parent VTS indices;</w:t>
      </w:r>
    </w:p>
    <w:p>
      <w:pPr>
        <w:pStyle w:val="Compact"/>
        <w:widowControl/>
        <w:numPr>
          <w:ilvl w:val="0"/>
          <w:numId w:val="1237"/>
        </w:numPr>
        <w:rPr/>
      </w:pPr>
      <w:r>
        <w:rPr/>
        <w:t>remove a parent index from one network while retaining it for another;</w:t>
      </w:r>
    </w:p>
    <w:p>
      <w:pPr>
        <w:pStyle w:val="Compact"/>
        <w:widowControl/>
        <w:numPr>
          <w:ilvl w:val="0"/>
          <w:numId w:val="1238"/>
        </w:numPr>
        <w:rPr/>
      </w:pPr>
      <w:r>
        <w:rPr/>
        <w:t>create a private calculation method;</w:t>
      </w:r>
    </w:p>
    <w:p>
      <w:pPr>
        <w:pStyle w:val="Compact"/>
        <w:widowControl/>
        <w:numPr>
          <w:ilvl w:val="0"/>
          <w:numId w:val="1239"/>
        </w:numPr>
        <w:rPr/>
      </w:pPr>
      <w:r>
        <w:rPr/>
        <w:t>rewrite historical scores without preserving prior versions;</w:t>
      </w:r>
    </w:p>
    <w:p>
      <w:pPr>
        <w:pStyle w:val="Compact"/>
        <w:widowControl/>
        <w:numPr>
          <w:ilvl w:val="0"/>
          <w:numId w:val="1240"/>
        </w:numPr>
        <w:rPr/>
      </w:pPr>
      <w:r>
        <w:rPr/>
        <w:t>approve a chain-specific supply cap or favourable VOX parameter;</w:t>
      </w:r>
    </w:p>
    <w:p>
      <w:pPr>
        <w:pStyle w:val="Compact"/>
        <w:widowControl/>
        <w:numPr>
          <w:ilvl w:val="0"/>
          <w:numId w:val="1241"/>
        </w:numPr>
        <w:rPr/>
      </w:pPr>
      <w:r>
        <w:rPr/>
        <w:t>hide conflicts of interest or paid data arrangements;</w:t>
      </w:r>
    </w:p>
    <w:p>
      <w:pPr>
        <w:pStyle w:val="Compact"/>
        <w:widowControl/>
        <w:numPr>
          <w:ilvl w:val="0"/>
          <w:numId w:val="1242"/>
        </w:numPr>
        <w:rPr/>
      </w:pPr>
      <w:r>
        <w:rPr/>
        <w:t>suppress a valid negative result for commercial or political reasons;</w:t>
      </w:r>
    </w:p>
    <w:p>
      <w:pPr>
        <w:pStyle w:val="Compact"/>
        <w:widowControl/>
        <w:numPr>
          <w:ilvl w:val="0"/>
          <w:numId w:val="1243"/>
        </w:numPr>
        <w:rPr/>
      </w:pPr>
      <w:r>
        <w:rPr/>
        <w:t>authorise token activation without the published safety thresholds.</w:t>
      </w:r>
    </w:p>
    <w:p>
      <w:pPr>
        <w:pStyle w:val="Normal"/>
        <w:rPr/>
      </w:pPr>
      <w:bookmarkStart w:id="439" w:name="constitutional-restrictions"/>
      <w:r>
        <w:rPr/>
        <w:t>A proposal that conflicts with these restrictions requires publication of a new constitutional edition, not an ordinary vote.</w:t>
      </w:r>
      <w:bookmarkEnd w:id="439"/>
    </w:p>
    <w:p>
      <w:pPr>
        <w:pStyle w:val="Heading2"/>
        <w:keepNext w:val="true"/>
        <w:keepLines/>
        <w:widowControl/>
        <w:rPr/>
      </w:pPr>
      <w:bookmarkStart w:id="440" w:name="__RefHeading___Toc8609_528838595"/>
      <w:bookmarkEnd w:id="440"/>
      <w:r>
        <w:rPr/>
        <w:t>26.3 Governance objects</w:t>
      </w:r>
    </w:p>
    <w:p>
      <w:pPr>
        <w:pStyle w:val="Normal"/>
        <w:rPr/>
      </w:pPr>
      <w:r>
        <w:rPr/>
        <w:t>DAO proposals are classified as:</w:t>
      </w:r>
    </w:p>
    <w:p>
      <w:pPr>
        <w:pStyle w:val="Compact"/>
        <w:widowControl/>
        <w:numPr>
          <w:ilvl w:val="0"/>
          <w:numId w:val="1244"/>
        </w:numPr>
        <w:rPr/>
      </w:pPr>
      <w:r>
        <w:rPr>
          <w:b/>
          <w:bCs/>
        </w:rPr>
        <w:t>source proposals</w:t>
      </w:r>
      <w:r>
        <w:rPr/>
        <w:t xml:space="preserve"> — add, remove or change a data source;</w:t>
      </w:r>
    </w:p>
    <w:p>
      <w:pPr>
        <w:pStyle w:val="Compact"/>
        <w:widowControl/>
        <w:numPr>
          <w:ilvl w:val="0"/>
          <w:numId w:val="1245"/>
        </w:numPr>
        <w:rPr/>
      </w:pPr>
      <w:r>
        <w:rPr>
          <w:b/>
          <w:bCs/>
        </w:rPr>
        <w:t>adapter proposals</w:t>
      </w:r>
      <w:r>
        <w:rPr/>
        <w:t xml:space="preserve"> — certify, upgrade, suspend or replace an adapter;</w:t>
      </w:r>
    </w:p>
    <w:p>
      <w:pPr>
        <w:pStyle w:val="Compact"/>
        <w:widowControl/>
        <w:numPr>
          <w:ilvl w:val="0"/>
          <w:numId w:val="1246"/>
        </w:numPr>
        <w:rPr/>
      </w:pPr>
      <w:r>
        <w:rPr>
          <w:b/>
          <w:bCs/>
        </w:rPr>
        <w:t>methodology proposals</w:t>
      </w:r>
      <w:r>
        <w:rPr/>
        <w:t xml:space="preserve"> — modify transformations, benchmarks or submetric weights;</w:t>
      </w:r>
    </w:p>
    <w:p>
      <w:pPr>
        <w:pStyle w:val="Compact"/>
        <w:widowControl/>
        <w:numPr>
          <w:ilvl w:val="0"/>
          <w:numId w:val="1247"/>
        </w:numPr>
        <w:rPr/>
      </w:pPr>
      <w:r>
        <w:rPr>
          <w:b/>
          <w:bCs/>
        </w:rPr>
        <w:t>policy proposals</w:t>
      </w:r>
      <w:r>
        <w:rPr/>
        <w:t xml:space="preserve"> — alter confidence, publication or dispute rules;</w:t>
      </w:r>
    </w:p>
    <w:p>
      <w:pPr>
        <w:pStyle w:val="Compact"/>
        <w:widowControl/>
        <w:numPr>
          <w:ilvl w:val="0"/>
          <w:numId w:val="1248"/>
        </w:numPr>
        <w:rPr/>
      </w:pPr>
      <w:r>
        <w:rPr>
          <w:b/>
          <w:bCs/>
        </w:rPr>
        <w:t>infrastructure proposals</w:t>
      </w:r>
      <w:r>
        <w:rPr/>
        <w:t xml:space="preserve"> — fund or upgrade VoxUI, APIs, nodes and indexers;</w:t>
      </w:r>
    </w:p>
    <w:p>
      <w:pPr>
        <w:pStyle w:val="Compact"/>
        <w:widowControl/>
        <w:numPr>
          <w:ilvl w:val="0"/>
          <w:numId w:val="1249"/>
        </w:numPr>
        <w:rPr/>
      </w:pPr>
      <w:r>
        <w:rPr>
          <w:b/>
          <w:bCs/>
        </w:rPr>
        <w:t>economic-layer proposals</w:t>
      </w:r>
      <w:r>
        <w:rPr/>
        <w:t xml:space="preserve"> — activate or modify optional VOX or V-FOREX components;</w:t>
      </w:r>
    </w:p>
    <w:p>
      <w:pPr>
        <w:pStyle w:val="Compact"/>
        <w:widowControl/>
        <w:numPr>
          <w:ilvl w:val="0"/>
          <w:numId w:val="1250"/>
        </w:numPr>
        <w:rPr/>
      </w:pPr>
      <w:r>
        <w:rPr>
          <w:b/>
          <w:bCs/>
        </w:rPr>
        <w:t>constitutional proposals</w:t>
      </w:r>
      <w:r>
        <w:rPr/>
        <w:t xml:space="preserve"> — publish a new framework edition.</w:t>
      </w:r>
    </w:p>
    <w:p>
      <w:pPr>
        <w:pStyle w:val="Normal"/>
        <w:rPr/>
      </w:pPr>
      <w:bookmarkStart w:id="441" w:name="governance-objects"/>
      <w:r>
        <w:rPr/>
        <w:t>Different classes use different quorum, review and delay requirements.</w:t>
      </w:r>
      <w:bookmarkEnd w:id="441"/>
    </w:p>
    <w:p>
      <w:pPr>
        <w:pStyle w:val="Heading2"/>
        <w:keepNext w:val="true"/>
        <w:keepLines/>
        <w:widowControl/>
        <w:rPr/>
      </w:pPr>
      <w:bookmarkStart w:id="442" w:name="__RefHeading___Toc8611_528838595"/>
      <w:bookmarkEnd w:id="442"/>
      <w:r>
        <w:rPr/>
        <w:t>26.4 Representation</w:t>
      </w:r>
    </w:p>
    <w:p>
      <w:pPr>
        <w:pStyle w:val="Normal"/>
        <w:rPr/>
      </w:pPr>
      <w:r>
        <w:rPr/>
        <w:t>Governance design must balance stake, expertise, independence and broad participation. Pure token-weighted governance can be captured by concentrated capital; pure expert governance can become closed and unaccountable.</w:t>
      </w:r>
    </w:p>
    <w:p>
      <w:pPr>
        <w:pStyle w:val="BodyText"/>
        <w:widowControl/>
        <w:rPr/>
      </w:pPr>
      <w:r>
        <w:rPr/>
        <w:t>The implementation may use a bicameral or multi-house model:</w:t>
      </w:r>
    </w:p>
    <w:p>
      <w:pPr>
        <w:pStyle w:val="Compact"/>
        <w:widowControl/>
        <w:numPr>
          <w:ilvl w:val="0"/>
          <w:numId w:val="1251"/>
        </w:numPr>
        <w:rPr/>
      </w:pPr>
      <w:r>
        <w:rPr/>
        <w:t>a participant house representing broad governance stake;</w:t>
      </w:r>
    </w:p>
    <w:p>
      <w:pPr>
        <w:pStyle w:val="Compact"/>
        <w:widowControl/>
        <w:numPr>
          <w:ilvl w:val="0"/>
          <w:numId w:val="1252"/>
        </w:numPr>
        <w:rPr/>
      </w:pPr>
      <w:r>
        <w:rPr/>
        <w:t>a technical and methodological council elected under transparent terms;</w:t>
      </w:r>
    </w:p>
    <w:p>
      <w:pPr>
        <w:pStyle w:val="Compact"/>
        <w:widowControl/>
        <w:numPr>
          <w:ilvl w:val="0"/>
          <w:numId w:val="1253"/>
        </w:numPr>
        <w:rPr/>
      </w:pPr>
      <w:r>
        <w:rPr/>
        <w:t>an independent audit or guardian function limited to delay and review, not permanent veto.</w:t>
      </w:r>
    </w:p>
    <w:p>
      <w:pPr>
        <w:pStyle w:val="Normal"/>
        <w:rPr/>
      </w:pPr>
      <w:bookmarkStart w:id="443" w:name="representation"/>
      <w:r>
        <w:rPr/>
        <w:t>The exact mechanism is an implementation decision, but all authority must be visible and bounded.</w:t>
      </w:r>
      <w:bookmarkEnd w:id="443"/>
    </w:p>
    <w:p>
      <w:pPr>
        <w:pStyle w:val="Heading2"/>
        <w:keepNext w:val="true"/>
        <w:keepLines/>
        <w:widowControl/>
        <w:rPr/>
      </w:pPr>
      <w:bookmarkStart w:id="444" w:name="__RefHeading___Toc8613_528838595"/>
      <w:bookmarkEnd w:id="444"/>
      <w:r>
        <w:rPr/>
        <w:t>26.5 Conflicts of interest</w:t>
      </w:r>
    </w:p>
    <w:p>
      <w:pPr>
        <w:pStyle w:val="Normal"/>
        <w:rPr/>
      </w:pPr>
      <w:bookmarkStart w:id="445" w:name="conflicts-of-interest"/>
      <w:r>
        <w:rPr/>
        <w:t>Proposal authors, reviewers and voters must disclose material interests, including holdings, employment, grants, data-provider relationships and paid research. Conflict disclosure does not automatically exclude participation, but it affects review and quorum rules for high-impact proposals.</w:t>
      </w:r>
      <w:bookmarkEnd w:id="445"/>
    </w:p>
    <w:p>
      <w:pPr>
        <w:pStyle w:val="Heading2"/>
        <w:keepNext w:val="true"/>
        <w:keepLines/>
        <w:widowControl/>
        <w:rPr/>
      </w:pPr>
      <w:bookmarkStart w:id="446" w:name="__RefHeading___Toc8615_528838595"/>
      <w:bookmarkEnd w:id="446"/>
      <w:r>
        <w:rPr/>
        <w:t>26.6 Treasury</w:t>
      </w:r>
    </w:p>
    <w:p>
      <w:pPr>
        <w:pStyle w:val="Normal"/>
        <w:rPr/>
      </w:pPr>
      <w:r>
        <w:rPr/>
        <w:t>The DAO treasury may fund:</w:t>
      </w:r>
    </w:p>
    <w:p>
      <w:pPr>
        <w:pStyle w:val="Compact"/>
        <w:widowControl/>
        <w:numPr>
          <w:ilvl w:val="0"/>
          <w:numId w:val="1254"/>
        </w:numPr>
        <w:rPr/>
      </w:pPr>
      <w:r>
        <w:rPr/>
        <w:t>open-source adapters and data infrastructure;</w:t>
      </w:r>
    </w:p>
    <w:p>
      <w:pPr>
        <w:pStyle w:val="Compact"/>
        <w:widowControl/>
        <w:numPr>
          <w:ilvl w:val="0"/>
          <w:numId w:val="1255"/>
        </w:numPr>
        <w:rPr/>
      </w:pPr>
      <w:r>
        <w:rPr/>
        <w:t>archival nodes and indexers;</w:t>
      </w:r>
    </w:p>
    <w:p>
      <w:pPr>
        <w:pStyle w:val="Compact"/>
        <w:widowControl/>
        <w:numPr>
          <w:ilvl w:val="0"/>
          <w:numId w:val="1256"/>
        </w:numPr>
        <w:rPr/>
      </w:pPr>
      <w:r>
        <w:rPr/>
        <w:t>independent audits;</w:t>
      </w:r>
    </w:p>
    <w:p>
      <w:pPr>
        <w:pStyle w:val="Compact"/>
        <w:widowControl/>
        <w:numPr>
          <w:ilvl w:val="0"/>
          <w:numId w:val="1257"/>
        </w:numPr>
        <w:rPr/>
      </w:pPr>
      <w:r>
        <w:rPr/>
        <w:t>economic research and validation;</w:t>
      </w:r>
    </w:p>
    <w:p>
      <w:pPr>
        <w:pStyle w:val="Compact"/>
        <w:widowControl/>
        <w:numPr>
          <w:ilvl w:val="0"/>
          <w:numId w:val="1258"/>
        </w:numPr>
        <w:rPr/>
      </w:pPr>
      <w:r>
        <w:rPr/>
        <w:t>bug bounties;</w:t>
      </w:r>
    </w:p>
    <w:p>
      <w:pPr>
        <w:pStyle w:val="Compact"/>
        <w:widowControl/>
        <w:numPr>
          <w:ilvl w:val="0"/>
          <w:numId w:val="1259"/>
        </w:numPr>
        <w:rPr/>
      </w:pPr>
      <w:r>
        <w:rPr/>
        <w:t>public documentation and education;</w:t>
      </w:r>
    </w:p>
    <w:p>
      <w:pPr>
        <w:pStyle w:val="Compact"/>
        <w:widowControl/>
        <w:numPr>
          <w:ilvl w:val="0"/>
          <w:numId w:val="1260"/>
        </w:numPr>
        <w:rPr/>
      </w:pPr>
      <w:r>
        <w:rPr/>
        <w:t>legal analysis for optional implementations;</w:t>
      </w:r>
    </w:p>
    <w:p>
      <w:pPr>
        <w:pStyle w:val="Compact"/>
        <w:widowControl/>
        <w:numPr>
          <w:ilvl w:val="0"/>
          <w:numId w:val="1261"/>
        </w:numPr>
        <w:rPr/>
      </w:pPr>
      <w:r>
        <w:rPr/>
        <w:t>emergency response within constitutional limits.</w:t>
      </w:r>
    </w:p>
    <w:p>
      <w:pPr>
        <w:pStyle w:val="Normal"/>
        <w:rPr/>
      </w:pPr>
      <w:bookmarkStart w:id="447" w:name="treasury"/>
      <w:bookmarkStart w:id="448" w:name="the-vox-dao"/>
      <w:r>
        <w:rPr/>
        <w:t>Treasury spending is public and versioned. Grants cannot purchase favourable scores.</w:t>
      </w:r>
      <w:bookmarkEnd w:id="447"/>
      <w:bookmarkEnd w:id="448"/>
    </w:p>
    <w:p>
      <w:pPr>
        <w:pStyle w:val="Heading1"/>
        <w:keepNext w:val="true"/>
        <w:keepLines/>
        <w:widowControl/>
        <w:pBdr>
          <w:bottom w:val="single" w:sz="6" w:space="5" w:color="8AB2BF"/>
        </w:pBdr>
        <w:jc w:val="left"/>
        <w:rPr/>
      </w:pPr>
      <w:bookmarkStart w:id="449" w:name="__RefHeading___Toc8617_528838595"/>
      <w:bookmarkEnd w:id="449"/>
      <w:r>
        <w:rPr/>
        <w:t>27. Governance Mechanics and Capture Resistance</w:t>
      </w:r>
    </w:p>
    <w:p>
      <w:pPr>
        <w:pStyle w:val="Heading2"/>
        <w:keepNext w:val="true"/>
        <w:keepLines/>
        <w:widowControl/>
        <w:rPr/>
      </w:pPr>
      <w:bookmarkStart w:id="450" w:name="__RefHeading___Toc8619_528838595"/>
      <w:bookmarkStart w:id="451" w:name="proposal-lifecycle"/>
      <w:bookmarkEnd w:id="450"/>
      <w:r>
        <w:rPr/>
        <w:t>27.1 Proposal lifecycle</w:t>
      </w:r>
    </w:p>
    <w:p>
      <w:pPr>
        <w:pStyle w:val="Normal"/>
        <w:rPr/>
      </w:pPr>
      <w:r>
        <w:rPr/>
        <w:t>A standard proposal follows:</w:t>
      </w:r>
    </w:p>
    <w:p>
      <w:pPr>
        <w:pStyle w:val="Compact"/>
        <w:widowControl/>
        <w:numPr>
          <w:ilvl w:val="0"/>
          <w:numId w:val="1262"/>
        </w:numPr>
        <w:rPr/>
      </w:pPr>
      <w:r>
        <w:rPr>
          <w:b/>
          <w:bCs/>
        </w:rPr>
        <w:t>Draft</w:t>
      </w:r>
      <w:r>
        <w:rPr/>
        <w:t xml:space="preserve"> — problem statement, evidence and proposed change.</w:t>
      </w:r>
    </w:p>
    <w:p>
      <w:pPr>
        <w:pStyle w:val="Compact"/>
        <w:widowControl/>
        <w:numPr>
          <w:ilvl w:val="0"/>
          <w:numId w:val="1263"/>
        </w:numPr>
        <w:rPr/>
      </w:pPr>
      <w:r>
        <w:rPr>
          <w:b/>
          <w:bCs/>
        </w:rPr>
        <w:t>Technical review</w:t>
      </w:r>
      <w:r>
        <w:rPr/>
        <w:t xml:space="preserve"> — reproducibility, security and methodology assessment.</w:t>
      </w:r>
    </w:p>
    <w:p>
      <w:pPr>
        <w:pStyle w:val="Compact"/>
        <w:widowControl/>
        <w:numPr>
          <w:ilvl w:val="0"/>
          <w:numId w:val="1264"/>
        </w:numPr>
        <w:rPr/>
      </w:pPr>
      <w:r>
        <w:rPr>
          <w:b/>
          <w:bCs/>
        </w:rPr>
        <w:t>Public consultation</w:t>
      </w:r>
      <w:r>
        <w:rPr/>
        <w:t xml:space="preserve"> — open comments and competing proposals.</w:t>
      </w:r>
    </w:p>
    <w:p>
      <w:pPr>
        <w:pStyle w:val="Compact"/>
        <w:widowControl/>
        <w:numPr>
          <w:ilvl w:val="0"/>
          <w:numId w:val="1265"/>
        </w:numPr>
        <w:rPr/>
      </w:pPr>
      <w:r>
        <w:rPr>
          <w:b/>
          <w:bCs/>
        </w:rPr>
        <w:t>Simulation</w:t>
      </w:r>
      <w:r>
        <w:rPr/>
        <w:t xml:space="preserve"> — historical backtest, sensitivity and impact report.</w:t>
      </w:r>
    </w:p>
    <w:p>
      <w:pPr>
        <w:pStyle w:val="Compact"/>
        <w:widowControl/>
        <w:numPr>
          <w:ilvl w:val="0"/>
          <w:numId w:val="1266"/>
        </w:numPr>
        <w:rPr/>
      </w:pPr>
      <w:r>
        <w:rPr>
          <w:b/>
          <w:bCs/>
        </w:rPr>
        <w:t>Formal vote</w:t>
      </w:r>
      <w:r>
        <w:rPr/>
        <w:t xml:space="preserve"> — quorum and approval threshold by proposal class.</w:t>
      </w:r>
    </w:p>
    <w:p>
      <w:pPr>
        <w:pStyle w:val="Compact"/>
        <w:widowControl/>
        <w:numPr>
          <w:ilvl w:val="0"/>
          <w:numId w:val="1267"/>
        </w:numPr>
        <w:rPr/>
      </w:pPr>
      <w:r>
        <w:rPr>
          <w:b/>
          <w:bCs/>
        </w:rPr>
        <w:t>Timelock</w:t>
      </w:r>
      <w:r>
        <w:rPr/>
        <w:t xml:space="preserve"> — delayed execution with public final code and parameters.</w:t>
      </w:r>
    </w:p>
    <w:p>
      <w:pPr>
        <w:pStyle w:val="Compact"/>
        <w:widowControl/>
        <w:numPr>
          <w:ilvl w:val="0"/>
          <w:numId w:val="1268"/>
        </w:numPr>
        <w:rPr/>
      </w:pPr>
      <w:r>
        <w:rPr>
          <w:b/>
          <w:bCs/>
        </w:rPr>
        <w:t>Activation</w:t>
      </w:r>
      <w:r>
        <w:rPr/>
        <w:t xml:space="preserve"> — versioned deployment at a defined timestamp.</w:t>
      </w:r>
    </w:p>
    <w:p>
      <w:pPr>
        <w:pStyle w:val="Compact"/>
        <w:widowControl/>
        <w:numPr>
          <w:ilvl w:val="0"/>
          <w:numId w:val="1269"/>
        </w:numPr>
        <w:rPr/>
      </w:pPr>
      <w:r>
        <w:rPr>
          <w:b/>
          <w:bCs/>
        </w:rPr>
        <w:t>Post-activation review</w:t>
      </w:r>
      <w:r>
        <w:rPr/>
        <w:t xml:space="preserve"> — monitoring and comparison with simulated effect.</w:t>
      </w:r>
      <w:bookmarkEnd w:id="451"/>
    </w:p>
    <w:p>
      <w:pPr>
        <w:pStyle w:val="Heading2"/>
        <w:keepNext w:val="true"/>
        <w:keepLines/>
        <w:widowControl/>
        <w:rPr/>
      </w:pPr>
      <w:bookmarkStart w:id="452" w:name="__RefHeading___Toc8621_528838595"/>
      <w:bookmarkEnd w:id="452"/>
      <w:r>
        <w:rPr/>
        <w:t>27.2 Required proposal package</w:t>
      </w:r>
    </w:p>
    <w:p>
      <w:pPr>
        <w:pStyle w:val="Normal"/>
        <w:rPr/>
      </w:pPr>
      <w:r>
        <w:rPr/>
        <w:t>Every methodology proposal includes:</w:t>
      </w:r>
    </w:p>
    <w:p>
      <w:pPr>
        <w:pStyle w:val="Compact"/>
        <w:widowControl/>
        <w:numPr>
          <w:ilvl w:val="0"/>
          <w:numId w:val="1270"/>
        </w:numPr>
        <w:rPr/>
      </w:pPr>
      <w:r>
        <w:rPr/>
        <w:t>exact mathematical change;</w:t>
      </w:r>
    </w:p>
    <w:p>
      <w:pPr>
        <w:pStyle w:val="Compact"/>
        <w:widowControl/>
        <w:numPr>
          <w:ilvl w:val="0"/>
          <w:numId w:val="1271"/>
        </w:numPr>
        <w:rPr/>
      </w:pPr>
      <w:r>
        <w:rPr/>
        <w:t>machine-readable configuration diff;</w:t>
      </w:r>
    </w:p>
    <w:p>
      <w:pPr>
        <w:pStyle w:val="Compact"/>
        <w:widowControl/>
        <w:numPr>
          <w:ilvl w:val="0"/>
          <w:numId w:val="1272"/>
        </w:numPr>
        <w:rPr/>
      </w:pPr>
      <w:r>
        <w:rPr/>
        <w:t>affected metrics and networks;</w:t>
      </w:r>
    </w:p>
    <w:p>
      <w:pPr>
        <w:pStyle w:val="Compact"/>
        <w:widowControl/>
        <w:numPr>
          <w:ilvl w:val="0"/>
          <w:numId w:val="1273"/>
        </w:numPr>
        <w:rPr/>
      </w:pPr>
      <w:r>
        <w:rPr/>
        <w:t>historical recalculation;</w:t>
      </w:r>
    </w:p>
    <w:p>
      <w:pPr>
        <w:pStyle w:val="Compact"/>
        <w:widowControl/>
        <w:numPr>
          <w:ilvl w:val="0"/>
          <w:numId w:val="1274"/>
        </w:numPr>
        <w:rPr/>
      </w:pPr>
      <w:r>
        <w:rPr/>
        <w:t>distributional and ranking impact;</w:t>
      </w:r>
    </w:p>
    <w:p>
      <w:pPr>
        <w:pStyle w:val="Compact"/>
        <w:widowControl/>
        <w:numPr>
          <w:ilvl w:val="0"/>
          <w:numId w:val="1275"/>
        </w:numPr>
        <w:rPr/>
      </w:pPr>
      <w:r>
        <w:rPr/>
        <w:t>manipulation and gaming analysis;</w:t>
      </w:r>
    </w:p>
    <w:p>
      <w:pPr>
        <w:pStyle w:val="Compact"/>
        <w:widowControl/>
        <w:numPr>
          <w:ilvl w:val="0"/>
          <w:numId w:val="1276"/>
        </w:numPr>
        <w:rPr/>
      </w:pPr>
      <w:r>
        <w:rPr/>
        <w:t>source and adapter implications;</w:t>
      </w:r>
    </w:p>
    <w:p>
      <w:pPr>
        <w:pStyle w:val="Compact"/>
        <w:widowControl/>
        <w:numPr>
          <w:ilvl w:val="0"/>
          <w:numId w:val="1277"/>
        </w:numPr>
        <w:rPr/>
      </w:pPr>
      <w:r>
        <w:rPr/>
        <w:t>migration and rollback plan;</w:t>
      </w:r>
    </w:p>
    <w:p>
      <w:pPr>
        <w:pStyle w:val="Compact"/>
        <w:widowControl/>
        <w:numPr>
          <w:ilvl w:val="0"/>
          <w:numId w:val="1278"/>
        </w:numPr>
        <w:rPr/>
      </w:pPr>
      <w:r>
        <w:rPr/>
        <w:t>conflicts of interest;</w:t>
      </w:r>
    </w:p>
    <w:p>
      <w:pPr>
        <w:pStyle w:val="Compact"/>
        <w:widowControl/>
        <w:numPr>
          <w:ilvl w:val="0"/>
          <w:numId w:val="1279"/>
        </w:numPr>
        <w:rPr/>
      </w:pPr>
      <w:bookmarkStart w:id="453" w:name="required-proposal-package"/>
      <w:r>
        <w:rPr/>
        <w:t>plain-language rationale.</w:t>
      </w:r>
      <w:bookmarkEnd w:id="453"/>
    </w:p>
    <w:p>
      <w:pPr>
        <w:pStyle w:val="Heading2"/>
        <w:keepNext w:val="true"/>
        <w:keepLines/>
        <w:widowControl/>
        <w:rPr/>
      </w:pPr>
      <w:bookmarkStart w:id="454" w:name="__RefHeading___Toc8623_528838595"/>
      <w:bookmarkEnd w:id="454"/>
      <w:r>
        <w:rPr/>
        <w:t>27.3 Thresholds</w:t>
      </w:r>
    </w:p>
    <w:p>
      <w:pPr>
        <w:pStyle w:val="Normal"/>
        <w:rPr/>
      </w:pPr>
      <w:r>
        <w:rPr/>
        <w:t>Illustrative minimums are:</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980"/>
        <w:gridCol w:w="1980"/>
        <w:gridCol w:w="1980"/>
        <w:gridCol w:w="1979"/>
      </w:tblGrid>
      <w:tr>
        <w:trPr>
          <w:tblHeader w:val="true"/>
          <w:cantSplit w:val="true"/>
        </w:trPr>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Proposal class</w:t>
            </w:r>
          </w:p>
        </w:tc>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Quorum</w:t>
            </w:r>
          </w:p>
        </w:tc>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Approval</w:t>
            </w:r>
          </w:p>
        </w:tc>
        <w:tc>
          <w:tcPr>
            <w:tcW w:w="197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Timelock</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 or minor adapter update</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Simple majority</w:t>
            </w:r>
          </w:p>
        </w:tc>
        <w:tc>
          <w:tcPr>
            <w:tcW w:w="197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Methodology or benchmark change</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66.7%</w:t>
            </w:r>
          </w:p>
        </w:tc>
        <w:tc>
          <w:tcPr>
            <w:tcW w:w="197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Optional economic-layer activation</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w:t>
            </w:r>
          </w:p>
        </w:tc>
        <w:tc>
          <w:tcPr>
            <w:tcW w:w="197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Constitutional edition</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80%</w:t>
            </w:r>
          </w:p>
        </w:tc>
        <w:tc>
          <w:tcPr>
            <w:tcW w:w="197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90 days</w:t>
            </w:r>
          </w:p>
        </w:tc>
      </w:tr>
    </w:tbl>
    <w:p>
      <w:pPr>
        <w:pStyle w:val="BodyText"/>
        <w:widowControl/>
        <w:rPr/>
      </w:pPr>
      <w:bookmarkStart w:id="455" w:name="thresholds"/>
      <w:r>
        <w:rPr/>
        <w:t>These figures are genesis parameters subject to pre-launch simulation. The constitution fixes the process class, not these exact percentages.</w:t>
      </w:r>
      <w:bookmarkEnd w:id="455"/>
    </w:p>
    <w:p>
      <w:pPr>
        <w:pStyle w:val="Heading2"/>
        <w:keepNext w:val="true"/>
        <w:keepLines/>
        <w:widowControl/>
        <w:rPr/>
      </w:pPr>
      <w:bookmarkStart w:id="456" w:name="__RefHeading___Toc8625_528838595"/>
      <w:bookmarkEnd w:id="456"/>
      <w:r>
        <w:rPr/>
        <w:t>27.4 Delegation and vote concentration</w:t>
      </w:r>
    </w:p>
    <w:p>
      <w:pPr>
        <w:pStyle w:val="Normal"/>
        <w:rPr/>
      </w:pPr>
      <w:bookmarkStart w:id="457" w:name="delegation-and-vote-concentration"/>
      <w:r>
        <w:rPr/>
        <w:t>Delegation can improve informed participation but may concentrate power. VoxUI publishes delegate voting power, participation, conflicts and voting history. Governance may apply concentration caps, quadratic mechanisms or house-based approval, provided the rules are public and consistently applied.</w:t>
      </w:r>
      <w:bookmarkEnd w:id="457"/>
    </w:p>
    <w:p>
      <w:pPr>
        <w:pStyle w:val="Heading2"/>
        <w:keepNext w:val="true"/>
        <w:keepLines/>
        <w:widowControl/>
        <w:rPr/>
      </w:pPr>
      <w:bookmarkStart w:id="458" w:name="__RefHeading___Toc8627_528838595"/>
      <w:bookmarkEnd w:id="458"/>
      <w:r>
        <w:rPr/>
        <w:t>27.5 Emergency action</w:t>
      </w:r>
    </w:p>
    <w:p>
      <w:pPr>
        <w:pStyle w:val="Normal"/>
        <w:rPr/>
      </w:pPr>
      <w:r>
        <w:rPr/>
        <w:t>Emergency authority is limited to preventing immediate data corruption, security loss or unsafe economic-layer operation. Emergency actions must:</w:t>
      </w:r>
    </w:p>
    <w:p>
      <w:pPr>
        <w:pStyle w:val="Compact"/>
        <w:widowControl/>
        <w:numPr>
          <w:ilvl w:val="0"/>
          <w:numId w:val="1280"/>
        </w:numPr>
        <w:rPr/>
      </w:pPr>
      <w:r>
        <w:rPr/>
        <w:t>use pre-defined powers;</w:t>
      </w:r>
    </w:p>
    <w:p>
      <w:pPr>
        <w:pStyle w:val="Compact"/>
        <w:widowControl/>
        <w:numPr>
          <w:ilvl w:val="0"/>
          <w:numId w:val="1281"/>
        </w:numPr>
        <w:rPr/>
      </w:pPr>
      <w:r>
        <w:rPr/>
        <w:t>be time-limited;</w:t>
      </w:r>
    </w:p>
    <w:p>
      <w:pPr>
        <w:pStyle w:val="Compact"/>
        <w:widowControl/>
        <w:numPr>
          <w:ilvl w:val="0"/>
          <w:numId w:val="1282"/>
        </w:numPr>
        <w:rPr/>
      </w:pPr>
      <w:r>
        <w:rPr/>
        <w:t>preserve historical evidence;</w:t>
      </w:r>
    </w:p>
    <w:p>
      <w:pPr>
        <w:pStyle w:val="Compact"/>
        <w:widowControl/>
        <w:numPr>
          <w:ilvl w:val="0"/>
          <w:numId w:val="1283"/>
        </w:numPr>
        <w:rPr/>
      </w:pPr>
      <w:r>
        <w:rPr/>
        <w:t>trigger immediate public notice;</w:t>
      </w:r>
    </w:p>
    <w:p>
      <w:pPr>
        <w:pStyle w:val="Compact"/>
        <w:widowControl/>
        <w:numPr>
          <w:ilvl w:val="0"/>
          <w:numId w:val="1284"/>
        </w:numPr>
        <w:rPr/>
      </w:pPr>
      <w:r>
        <w:rPr/>
        <w:t>require retrospective ratification;</w:t>
      </w:r>
    </w:p>
    <w:p>
      <w:pPr>
        <w:pStyle w:val="Compact"/>
        <w:widowControl/>
        <w:numPr>
          <w:ilvl w:val="0"/>
          <w:numId w:val="1285"/>
        </w:numPr>
        <w:rPr/>
      </w:pPr>
      <w:bookmarkStart w:id="459" w:name="emergency-action"/>
      <w:r>
        <w:rPr/>
        <w:t>never alter a score merely because it is economically inconvenient.</w:t>
      </w:r>
      <w:bookmarkEnd w:id="459"/>
    </w:p>
    <w:p>
      <w:pPr>
        <w:pStyle w:val="Heading2"/>
        <w:keepNext w:val="true"/>
        <w:keepLines/>
        <w:widowControl/>
        <w:rPr/>
      </w:pPr>
      <w:bookmarkStart w:id="460" w:name="__RefHeading___Toc8629_528838595"/>
      <w:bookmarkEnd w:id="460"/>
      <w:r>
        <w:rPr/>
        <w:t>27.6 Capture resistance</w:t>
      </w:r>
    </w:p>
    <w:p>
      <w:pPr>
        <w:pStyle w:val="Normal"/>
        <w:rPr/>
      </w:pPr>
      <w:r>
        <w:rPr/>
        <w:t>Capture resistance combines:</w:t>
      </w:r>
    </w:p>
    <w:p>
      <w:pPr>
        <w:pStyle w:val="Compact"/>
        <w:widowControl/>
        <w:numPr>
          <w:ilvl w:val="0"/>
          <w:numId w:val="1286"/>
        </w:numPr>
        <w:rPr/>
      </w:pPr>
      <w:r>
        <w:rPr/>
        <w:t>diversified voting and review bodies;</w:t>
      </w:r>
    </w:p>
    <w:p>
      <w:pPr>
        <w:pStyle w:val="Compact"/>
        <w:widowControl/>
        <w:numPr>
          <w:ilvl w:val="0"/>
          <w:numId w:val="1287"/>
        </w:numPr>
        <w:rPr/>
      </w:pPr>
      <w:r>
        <w:rPr/>
        <w:t>timelocks;</w:t>
      </w:r>
    </w:p>
    <w:p>
      <w:pPr>
        <w:pStyle w:val="Compact"/>
        <w:widowControl/>
        <w:numPr>
          <w:ilvl w:val="0"/>
          <w:numId w:val="1288"/>
        </w:numPr>
        <w:rPr/>
      </w:pPr>
      <w:r>
        <w:rPr/>
        <w:t>supermajority thresholds;</w:t>
      </w:r>
    </w:p>
    <w:p>
      <w:pPr>
        <w:pStyle w:val="Compact"/>
        <w:widowControl/>
        <w:numPr>
          <w:ilvl w:val="0"/>
          <w:numId w:val="1289"/>
        </w:numPr>
        <w:rPr/>
      </w:pPr>
      <w:r>
        <w:rPr/>
        <w:t>public evidence requirements;</w:t>
      </w:r>
    </w:p>
    <w:p>
      <w:pPr>
        <w:pStyle w:val="Compact"/>
        <w:widowControl/>
        <w:numPr>
          <w:ilvl w:val="0"/>
          <w:numId w:val="1290"/>
        </w:numPr>
        <w:rPr/>
      </w:pPr>
      <w:r>
        <w:rPr/>
        <w:t>conflict disclosure;</w:t>
      </w:r>
    </w:p>
    <w:p>
      <w:pPr>
        <w:pStyle w:val="Compact"/>
        <w:widowControl/>
        <w:numPr>
          <w:ilvl w:val="0"/>
          <w:numId w:val="1291"/>
        </w:numPr>
        <w:rPr/>
      </w:pPr>
      <w:r>
        <w:rPr/>
        <w:t>immutable history;</w:t>
      </w:r>
    </w:p>
    <w:p>
      <w:pPr>
        <w:pStyle w:val="Compact"/>
        <w:widowControl/>
        <w:numPr>
          <w:ilvl w:val="0"/>
          <w:numId w:val="1292"/>
        </w:numPr>
        <w:rPr/>
      </w:pPr>
      <w:r>
        <w:rPr/>
        <w:t>forkable open-source software and data;</w:t>
      </w:r>
    </w:p>
    <w:p>
      <w:pPr>
        <w:pStyle w:val="Compact"/>
        <w:widowControl/>
        <w:numPr>
          <w:ilvl w:val="0"/>
          <w:numId w:val="1293"/>
        </w:numPr>
        <w:rPr/>
      </w:pPr>
      <w:r>
        <w:rPr/>
        <w:t>independent reproduction of calculations.</w:t>
      </w:r>
    </w:p>
    <w:p>
      <w:pPr>
        <w:pStyle w:val="Normal"/>
        <w:rPr/>
      </w:pPr>
      <w:bookmarkStart w:id="461" w:name="capture-resistance"/>
      <w:bookmarkStart w:id="462" w:name="X6dc12bc3d97eaa22b24a469b9bae8a4198098b5"/>
      <w:r>
        <w:rPr/>
        <w:t>The ultimate defence is exit and verification: if governance corrupts the standard, the public must be able to reproduce the last valid version.</w:t>
      </w:r>
      <w:bookmarkEnd w:id="461"/>
      <w:bookmarkEnd w:id="462"/>
    </w:p>
    <w:p>
      <w:pPr>
        <w:pStyle w:val="Heading1"/>
        <w:keepNext w:val="true"/>
        <w:keepLines/>
        <w:widowControl/>
        <w:pBdr>
          <w:bottom w:val="single" w:sz="6" w:space="5" w:color="8AB2BF"/>
        </w:pBdr>
        <w:jc w:val="left"/>
        <w:rPr/>
      </w:pPr>
      <w:bookmarkStart w:id="463" w:name="__RefHeading___Toc8631_528838595"/>
      <w:bookmarkEnd w:id="463"/>
      <w:r>
        <w:rPr/>
        <w:t>28. Versioning, Audit and Dispute Resolution</w:t>
      </w:r>
    </w:p>
    <w:p>
      <w:pPr>
        <w:pStyle w:val="Heading2"/>
        <w:keepNext w:val="true"/>
        <w:keepLines/>
        <w:widowControl/>
        <w:rPr/>
      </w:pPr>
      <w:bookmarkStart w:id="464" w:name="__RefHeading___Toc8633_528838595"/>
      <w:bookmarkEnd w:id="464"/>
      <w:r>
        <w:rPr/>
        <w:t>28.1 Semantic versioning</w:t>
      </w:r>
    </w:p>
    <w:p>
      <w:pPr>
        <w:pStyle w:val="Normal"/>
        <w:rPr/>
      </w:pPr>
      <w:r>
        <w:rPr/>
        <w:t>Framework versions use:</w:t>
      </w:r>
    </w:p>
    <w:p>
      <w:pPr>
        <w:pStyle w:val="Compact"/>
        <w:widowControl/>
        <w:numPr>
          <w:ilvl w:val="0"/>
          <w:numId w:val="1294"/>
        </w:numPr>
        <w:rPr/>
      </w:pPr>
      <w:r>
        <w:rPr>
          <w:b/>
          <w:bCs/>
        </w:rPr>
        <w:t>major version</w:t>
      </w:r>
      <w:r>
        <w:rPr/>
        <w:t xml:space="preserve"> — constitutional change or incompatible methodology;</w:t>
      </w:r>
    </w:p>
    <w:p>
      <w:pPr>
        <w:pStyle w:val="Compact"/>
        <w:widowControl/>
        <w:numPr>
          <w:ilvl w:val="0"/>
          <w:numId w:val="1295"/>
        </w:numPr>
        <w:rPr/>
      </w:pPr>
      <w:r>
        <w:rPr>
          <w:b/>
          <w:bCs/>
        </w:rPr>
        <w:t>minor version</w:t>
      </w:r>
      <w:r>
        <w:rPr/>
        <w:t xml:space="preserve"> — material but compatible metric, benchmark or policy update;</w:t>
      </w:r>
    </w:p>
    <w:p>
      <w:pPr>
        <w:pStyle w:val="Compact"/>
        <w:widowControl/>
        <w:numPr>
          <w:ilvl w:val="0"/>
          <w:numId w:val="1296"/>
        </w:numPr>
        <w:rPr/>
      </w:pPr>
      <w:r>
        <w:rPr>
          <w:b/>
          <w:bCs/>
        </w:rPr>
        <w:t>patch version</w:t>
      </w:r>
      <w:r>
        <w:rPr/>
        <w:t xml:space="preserve"> — defect correction that does not change intended methodology.</w:t>
      </w:r>
    </w:p>
    <w:p>
      <w:pPr>
        <w:pStyle w:val="Normal"/>
        <w:rPr/>
      </w:pPr>
      <w:bookmarkStart w:id="465" w:name="semantic-versioning"/>
      <w:r>
        <w:rPr/>
        <w:t>Every result records the full framework, metric-registry, adapter and source version.</w:t>
      </w:r>
      <w:bookmarkEnd w:id="465"/>
    </w:p>
    <w:p>
      <w:pPr>
        <w:pStyle w:val="Heading2"/>
        <w:keepNext w:val="true"/>
        <w:keepLines/>
        <w:widowControl/>
        <w:rPr/>
      </w:pPr>
      <w:bookmarkStart w:id="466" w:name="__RefHeading___Toc8635_528838595"/>
      <w:bookmarkEnd w:id="466"/>
      <w:r>
        <w:rPr/>
        <w:t>28.2 Historical series</w:t>
      </w:r>
    </w:p>
    <w:p>
      <w:pPr>
        <w:pStyle w:val="Normal"/>
        <w:rPr/>
      </w:pPr>
      <w:r>
        <w:rPr/>
        <w:t>When a major or minor methodology change occurs, Voxonomics publishes:</w:t>
      </w:r>
    </w:p>
    <w:p>
      <w:pPr>
        <w:pStyle w:val="Compact"/>
        <w:widowControl/>
        <w:numPr>
          <w:ilvl w:val="0"/>
          <w:numId w:val="1297"/>
        </w:numPr>
        <w:rPr/>
      </w:pPr>
      <w:r>
        <w:rPr/>
        <w:t>the original historical series;</w:t>
      </w:r>
    </w:p>
    <w:p>
      <w:pPr>
        <w:pStyle w:val="Compact"/>
        <w:widowControl/>
        <w:numPr>
          <w:ilvl w:val="0"/>
          <w:numId w:val="1298"/>
        </w:numPr>
        <w:rPr/>
      </w:pPr>
      <w:r>
        <w:rPr/>
        <w:t>a recalculated series under the new version;</w:t>
      </w:r>
    </w:p>
    <w:p>
      <w:pPr>
        <w:pStyle w:val="Compact"/>
        <w:widowControl/>
        <w:numPr>
          <w:ilvl w:val="0"/>
          <w:numId w:val="1299"/>
        </w:numPr>
        <w:rPr/>
      </w:pPr>
      <w:r>
        <w:rPr/>
        <w:t>a bridge table showing differences;</w:t>
      </w:r>
    </w:p>
    <w:p>
      <w:pPr>
        <w:pStyle w:val="Compact"/>
        <w:widowControl/>
        <w:numPr>
          <w:ilvl w:val="0"/>
          <w:numId w:val="1300"/>
        </w:numPr>
        <w:rPr/>
      </w:pPr>
      <w:r>
        <w:rPr/>
        <w:t>the date the new series became official.</w:t>
      </w:r>
    </w:p>
    <w:p>
      <w:pPr>
        <w:pStyle w:val="Normal"/>
        <w:rPr/>
      </w:pPr>
      <w:bookmarkStart w:id="467" w:name="historical-series"/>
      <w:r>
        <w:rPr/>
        <w:t>Users can therefore distinguish genuine economic change from model change.</w:t>
      </w:r>
      <w:bookmarkEnd w:id="467"/>
    </w:p>
    <w:p>
      <w:pPr>
        <w:pStyle w:val="Heading2"/>
        <w:keepNext w:val="true"/>
        <w:keepLines/>
        <w:widowControl/>
        <w:rPr/>
      </w:pPr>
      <w:bookmarkStart w:id="468" w:name="__RefHeading___Toc8637_528838595"/>
      <w:bookmarkEnd w:id="468"/>
      <w:r>
        <w:rPr/>
        <w:t>28.3 Audit levels</w:t>
      </w:r>
    </w:p>
    <w:p>
      <w:pPr>
        <w:pStyle w:val="Normal"/>
        <w:rPr/>
      </w:pPr>
      <w:r>
        <w:rPr/>
        <w:t>Audits occur at four levels:</w:t>
      </w:r>
    </w:p>
    <w:p>
      <w:pPr>
        <w:pStyle w:val="Compact"/>
        <w:widowControl/>
        <w:numPr>
          <w:ilvl w:val="0"/>
          <w:numId w:val="1301"/>
        </w:numPr>
        <w:rPr/>
      </w:pPr>
      <w:r>
        <w:rPr>
          <w:b/>
          <w:bCs/>
        </w:rPr>
        <w:t>Data audit</w:t>
      </w:r>
      <w:r>
        <w:rPr/>
        <w:t xml:space="preserve"> — source provenance, completeness and reconciliation.</w:t>
      </w:r>
    </w:p>
    <w:p>
      <w:pPr>
        <w:pStyle w:val="Compact"/>
        <w:widowControl/>
        <w:numPr>
          <w:ilvl w:val="0"/>
          <w:numId w:val="1302"/>
        </w:numPr>
        <w:rPr/>
      </w:pPr>
      <w:r>
        <w:rPr>
          <w:b/>
          <w:bCs/>
        </w:rPr>
        <w:t>Code audit</w:t>
      </w:r>
      <w:r>
        <w:rPr/>
        <w:t xml:space="preserve"> — adapter and calculation correctness.</w:t>
      </w:r>
    </w:p>
    <w:p>
      <w:pPr>
        <w:pStyle w:val="Compact"/>
        <w:widowControl/>
        <w:numPr>
          <w:ilvl w:val="0"/>
          <w:numId w:val="1303"/>
        </w:numPr>
        <w:rPr/>
      </w:pPr>
      <w:r>
        <w:rPr>
          <w:b/>
          <w:bCs/>
        </w:rPr>
        <w:t>Methodology audit</w:t>
      </w:r>
      <w:r>
        <w:rPr/>
        <w:t xml:space="preserve"> — economic validity, correlation and sensitivity.</w:t>
      </w:r>
    </w:p>
    <w:p>
      <w:pPr>
        <w:pStyle w:val="Compact"/>
        <w:widowControl/>
        <w:numPr>
          <w:ilvl w:val="0"/>
          <w:numId w:val="1304"/>
        </w:numPr>
        <w:rPr/>
      </w:pPr>
      <w:r>
        <w:rPr>
          <w:b/>
          <w:bCs/>
        </w:rPr>
        <w:t>Economic-layer audit</w:t>
      </w:r>
      <w:r>
        <w:rPr/>
        <w:t xml:space="preserve"> — smart contracts, issuance, markets, bridges and legal assumptions.</w:t>
      </w:r>
    </w:p>
    <w:p>
      <w:pPr>
        <w:pStyle w:val="Normal"/>
        <w:rPr/>
      </w:pPr>
      <w:bookmarkStart w:id="469" w:name="audit-levels"/>
      <w:r>
        <w:rPr/>
        <w:t>An audit must disclose scope and limitations. A code audit does not certify economic design, and an economic review does not prove implementation security.</w:t>
      </w:r>
      <w:bookmarkEnd w:id="469"/>
    </w:p>
    <w:p>
      <w:pPr>
        <w:pStyle w:val="Heading2"/>
        <w:keepNext w:val="true"/>
        <w:keepLines/>
        <w:widowControl/>
        <w:rPr/>
      </w:pPr>
      <w:bookmarkStart w:id="470" w:name="__RefHeading___Toc8639_528838595"/>
      <w:bookmarkEnd w:id="470"/>
      <w:r>
        <w:rPr/>
        <w:t>28.4 Dispute initiation</w:t>
      </w:r>
    </w:p>
    <w:p>
      <w:pPr>
        <w:pStyle w:val="Normal"/>
        <w:rPr/>
      </w:pPr>
      <w:r>
        <w:rPr/>
        <w:t>Any participant may open a dispute by identifying:</w:t>
      </w:r>
    </w:p>
    <w:p>
      <w:pPr>
        <w:pStyle w:val="Compact"/>
        <w:widowControl/>
        <w:numPr>
          <w:ilvl w:val="0"/>
          <w:numId w:val="1305"/>
        </w:numPr>
        <w:rPr/>
      </w:pPr>
      <w:r>
        <w:rPr/>
        <w:t>the affected result;</w:t>
      </w:r>
    </w:p>
    <w:p>
      <w:pPr>
        <w:pStyle w:val="Compact"/>
        <w:widowControl/>
        <w:numPr>
          <w:ilvl w:val="0"/>
          <w:numId w:val="1306"/>
        </w:numPr>
        <w:rPr/>
      </w:pPr>
      <w:r>
        <w:rPr/>
        <w:t>disputed observation or methodology;</w:t>
      </w:r>
    </w:p>
    <w:p>
      <w:pPr>
        <w:pStyle w:val="Compact"/>
        <w:widowControl/>
        <w:numPr>
          <w:ilvl w:val="0"/>
          <w:numId w:val="1307"/>
        </w:numPr>
        <w:rPr/>
      </w:pPr>
      <w:r>
        <w:rPr/>
        <w:t>reproducible evidence;</w:t>
      </w:r>
    </w:p>
    <w:p>
      <w:pPr>
        <w:pStyle w:val="Compact"/>
        <w:widowControl/>
        <w:numPr>
          <w:ilvl w:val="0"/>
          <w:numId w:val="1308"/>
        </w:numPr>
        <w:rPr/>
      </w:pPr>
      <w:r>
        <w:rPr/>
        <w:t>expected material effect;</w:t>
      </w:r>
    </w:p>
    <w:p>
      <w:pPr>
        <w:pStyle w:val="Compact"/>
        <w:widowControl/>
        <w:numPr>
          <w:ilvl w:val="0"/>
          <w:numId w:val="1309"/>
        </w:numPr>
        <w:rPr/>
      </w:pPr>
      <w:r>
        <w:rPr/>
        <w:t>conflict disclosures.</w:t>
      </w:r>
    </w:p>
    <w:p>
      <w:pPr>
        <w:pStyle w:val="Normal"/>
        <w:rPr/>
      </w:pPr>
      <w:bookmarkStart w:id="471" w:name="dispute-initiation"/>
      <w:r>
        <w:rPr/>
        <w:t>Spam deposits or reputation controls may be used, but valid public challenges must remain accessible.</w:t>
      </w:r>
      <w:bookmarkEnd w:id="471"/>
    </w:p>
    <w:p>
      <w:pPr>
        <w:pStyle w:val="Heading2"/>
        <w:keepNext w:val="true"/>
        <w:keepLines/>
        <w:widowControl/>
        <w:rPr/>
      </w:pPr>
      <w:bookmarkStart w:id="472" w:name="__RefHeading___Toc8641_528838595"/>
      <w:bookmarkEnd w:id="472"/>
      <w:r>
        <w:rPr/>
        <w:t>28.5 Dispute states</w:t>
      </w:r>
    </w:p>
    <w:p>
      <w:pPr>
        <w:pStyle w:val="Normal"/>
        <w:rPr/>
      </w:pPr>
      <w:r>
        <w:rPr/>
        <w:t>A dispute progresses through:</w:t>
      </w:r>
    </w:p>
    <w:p>
      <w:pPr>
        <w:pStyle w:val="Compact"/>
        <w:widowControl/>
        <w:numPr>
          <w:ilvl w:val="0"/>
          <w:numId w:val="1310"/>
        </w:numPr>
        <w:rPr/>
      </w:pPr>
      <w:r>
        <w:rPr/>
        <w:t>submitted;</w:t>
      </w:r>
    </w:p>
    <w:p>
      <w:pPr>
        <w:pStyle w:val="Compact"/>
        <w:widowControl/>
        <w:numPr>
          <w:ilvl w:val="0"/>
          <w:numId w:val="1311"/>
        </w:numPr>
        <w:rPr/>
      </w:pPr>
      <w:r>
        <w:rPr/>
        <w:t>triaged;</w:t>
      </w:r>
    </w:p>
    <w:p>
      <w:pPr>
        <w:pStyle w:val="Compact"/>
        <w:widowControl/>
        <w:numPr>
          <w:ilvl w:val="0"/>
          <w:numId w:val="1312"/>
        </w:numPr>
        <w:rPr/>
      </w:pPr>
      <w:r>
        <w:rPr/>
        <w:t>evidence collection;</w:t>
      </w:r>
    </w:p>
    <w:p>
      <w:pPr>
        <w:pStyle w:val="Compact"/>
        <w:widowControl/>
        <w:numPr>
          <w:ilvl w:val="0"/>
          <w:numId w:val="1313"/>
        </w:numPr>
        <w:rPr/>
      </w:pPr>
      <w:r>
        <w:rPr/>
        <w:t>independent replication;</w:t>
      </w:r>
    </w:p>
    <w:p>
      <w:pPr>
        <w:pStyle w:val="Compact"/>
        <w:widowControl/>
        <w:numPr>
          <w:ilvl w:val="0"/>
          <w:numId w:val="1314"/>
        </w:numPr>
        <w:rPr/>
      </w:pPr>
      <w:r>
        <w:rPr/>
        <w:t>proposed resolution;</w:t>
      </w:r>
    </w:p>
    <w:p>
      <w:pPr>
        <w:pStyle w:val="Compact"/>
        <w:widowControl/>
        <w:numPr>
          <w:ilvl w:val="0"/>
          <w:numId w:val="1315"/>
        </w:numPr>
        <w:rPr/>
      </w:pPr>
      <w:r>
        <w:rPr/>
        <w:t>governance decision;</w:t>
      </w:r>
    </w:p>
    <w:p>
      <w:pPr>
        <w:pStyle w:val="Compact"/>
        <w:widowControl/>
        <w:numPr>
          <w:ilvl w:val="0"/>
          <w:numId w:val="1316"/>
        </w:numPr>
        <w:rPr/>
      </w:pPr>
      <w:r>
        <w:rPr/>
        <w:t>implementation and post-mortem.</w:t>
      </w:r>
    </w:p>
    <w:p>
      <w:pPr>
        <w:pStyle w:val="Normal"/>
        <w:rPr/>
      </w:pPr>
      <w:bookmarkStart w:id="473" w:name="dispute-states"/>
      <w:r>
        <w:rPr/>
        <w:t>Material disputes are visible in VoxUI. The system does not silently fix a result while presenting it as unchanged.</w:t>
      </w:r>
      <w:bookmarkEnd w:id="473"/>
    </w:p>
    <w:p>
      <w:pPr>
        <w:pStyle w:val="Heading2"/>
        <w:keepNext w:val="true"/>
        <w:keepLines/>
        <w:widowControl/>
        <w:rPr/>
      </w:pPr>
      <w:bookmarkStart w:id="474" w:name="__RefHeading___Toc8643_528838595"/>
      <w:bookmarkEnd w:id="474"/>
      <w:r>
        <w:rPr/>
        <w:t>28.6 Correction classes</w:t>
      </w:r>
    </w:p>
    <w:p>
      <w:pPr>
        <w:pStyle w:val="Normal"/>
        <w:rPr/>
      </w:pPr>
      <w:r>
        <w:rPr/>
        <w:t>Corrections are classified as:</w:t>
      </w:r>
    </w:p>
    <w:p>
      <w:pPr>
        <w:pStyle w:val="Compact"/>
        <w:widowControl/>
        <w:numPr>
          <w:ilvl w:val="0"/>
          <w:numId w:val="1317"/>
        </w:numPr>
        <w:rPr/>
      </w:pPr>
      <w:r>
        <w:rPr>
          <w:b/>
          <w:bCs/>
        </w:rPr>
        <w:t>source correction</w:t>
      </w:r>
      <w:r>
        <w:rPr/>
        <w:t xml:space="preserve"> — upstream observation changed;</w:t>
      </w:r>
    </w:p>
    <w:p>
      <w:pPr>
        <w:pStyle w:val="Compact"/>
        <w:widowControl/>
        <w:numPr>
          <w:ilvl w:val="0"/>
          <w:numId w:val="1318"/>
        </w:numPr>
        <w:rPr/>
      </w:pPr>
      <w:r>
        <w:rPr>
          <w:b/>
          <w:bCs/>
        </w:rPr>
        <w:t>adapter defect</w:t>
      </w:r>
      <w:r>
        <w:rPr/>
        <w:t xml:space="preserve"> — extraction or transformation error;</w:t>
      </w:r>
    </w:p>
    <w:p>
      <w:pPr>
        <w:pStyle w:val="Compact"/>
        <w:widowControl/>
        <w:numPr>
          <w:ilvl w:val="0"/>
          <w:numId w:val="1319"/>
        </w:numPr>
        <w:rPr/>
      </w:pPr>
      <w:r>
        <w:rPr>
          <w:b/>
          <w:bCs/>
        </w:rPr>
        <w:t>methodology defect</w:t>
      </w:r>
      <w:r>
        <w:rPr/>
        <w:t xml:space="preserve"> — intended model produces invalid behaviour;</w:t>
      </w:r>
    </w:p>
    <w:p>
      <w:pPr>
        <w:pStyle w:val="Compact"/>
        <w:widowControl/>
        <w:numPr>
          <w:ilvl w:val="0"/>
          <w:numId w:val="1320"/>
        </w:numPr>
        <w:rPr/>
      </w:pPr>
      <w:r>
        <w:rPr>
          <w:b/>
          <w:bCs/>
        </w:rPr>
        <w:t>scope correction</w:t>
      </w:r>
      <w:r>
        <w:rPr/>
        <w:t xml:space="preserve"> — network or asset counted incorrectly;</w:t>
      </w:r>
    </w:p>
    <w:p>
      <w:pPr>
        <w:pStyle w:val="Compact"/>
        <w:widowControl/>
        <w:numPr>
          <w:ilvl w:val="0"/>
          <w:numId w:val="1321"/>
        </w:numPr>
        <w:rPr/>
      </w:pPr>
      <w:r>
        <w:rPr>
          <w:b/>
          <w:bCs/>
        </w:rPr>
        <w:t>label update</w:t>
      </w:r>
      <w:r>
        <w:rPr/>
        <w:t xml:space="preserve"> — improved entity or application classification.</w:t>
      </w:r>
    </w:p>
    <w:p>
      <w:pPr>
        <w:pStyle w:val="Normal"/>
        <w:rPr/>
      </w:pPr>
      <w:bookmarkStart w:id="475" w:name="correction-classes"/>
      <w:bookmarkStart w:id="476" w:name="versioning-audit-and-dispute-resolution"/>
      <w:r>
        <w:rPr/>
        <w:t>The correction class determines whether a patch, minor or major version is required.</w:t>
      </w:r>
      <w:bookmarkEnd w:id="475"/>
      <w:bookmarkEnd w:id="476"/>
    </w:p>
    <w:p>
      <w:pPr>
        <w:pStyle w:val="Heading1"/>
        <w:keepNext w:val="true"/>
        <w:keepLines/>
        <w:widowControl/>
        <w:pBdr>
          <w:bottom w:val="single" w:sz="6" w:space="5" w:color="8AB2BF"/>
        </w:pBdr>
        <w:jc w:val="left"/>
        <w:rPr/>
      </w:pPr>
      <w:bookmarkStart w:id="477" w:name="__RefHeading___Toc8645_528838595"/>
      <w:bookmarkEnd w:id="477"/>
      <w:r>
        <w:rPr/>
        <w:t>29. VoxUI Transparency Layer</w:t>
      </w:r>
    </w:p>
    <w:p>
      <w:pPr>
        <w:pStyle w:val="Heading2"/>
        <w:keepNext w:val="true"/>
        <w:keepLines/>
        <w:widowControl/>
        <w:rPr/>
      </w:pPr>
      <w:bookmarkStart w:id="478" w:name="__RefHeading___Toc8647_528838595"/>
      <w:bookmarkEnd w:id="478"/>
      <w:r>
        <w:rPr/>
        <w:t>29.1 Purpose</w:t>
      </w:r>
    </w:p>
    <w:p>
      <w:pPr>
        <w:pStyle w:val="Normal"/>
        <w:rPr/>
      </w:pPr>
      <w:bookmarkStart w:id="479" w:name="purpose-12"/>
      <w:r>
        <w:rPr/>
        <w:t>VoxUI is the public interface through which anyone can inspect, compare and reproduce Voxonomics outputs. It is not merely a ranking screen. It is an evidence and governance terminal.</w:t>
      </w:r>
      <w:bookmarkEnd w:id="479"/>
    </w:p>
    <w:p>
      <w:pPr>
        <w:pStyle w:val="Heading2"/>
        <w:keepNext w:val="true"/>
        <w:keepLines/>
        <w:widowControl/>
        <w:rPr/>
      </w:pPr>
      <w:bookmarkStart w:id="480" w:name="__RefHeading___Toc8649_528838595"/>
      <w:bookmarkEnd w:id="480"/>
      <w:r>
        <w:rPr/>
        <w:t>29.2 Network dashboard</w:t>
      </w:r>
    </w:p>
    <w:p>
      <w:pPr>
        <w:pStyle w:val="Normal"/>
        <w:rPr/>
      </w:pPr>
      <w:r>
        <w:rPr/>
        <w:t>Each network dashboard displays:</w:t>
      </w:r>
    </w:p>
    <w:p>
      <w:pPr>
        <w:pStyle w:val="Compact"/>
        <w:widowControl/>
        <w:numPr>
          <w:ilvl w:val="0"/>
          <w:numId w:val="1322"/>
        </w:numPr>
        <w:rPr/>
      </w:pPr>
      <w:r>
        <w:rPr/>
        <w:t>VTS and VTS_core;</w:t>
      </w:r>
    </w:p>
    <w:p>
      <w:pPr>
        <w:pStyle w:val="Compact"/>
        <w:widowControl/>
        <w:numPr>
          <w:ilvl w:val="0"/>
          <w:numId w:val="1323"/>
        </w:numPr>
        <w:rPr/>
      </w:pPr>
      <w:r>
        <w:rPr/>
        <w:t>ERU-relative history;</w:t>
      </w:r>
    </w:p>
    <w:p>
      <w:pPr>
        <w:pStyle w:val="Compact"/>
        <w:widowControl/>
        <w:numPr>
          <w:ilvl w:val="0"/>
          <w:numId w:val="1324"/>
        </w:numPr>
        <w:rPr/>
      </w:pPr>
      <w:r>
        <w:rPr/>
        <w:t>six parent-index radar and time series;</w:t>
      </w:r>
    </w:p>
    <w:p>
      <w:pPr>
        <w:pStyle w:val="Compact"/>
        <w:widowControl/>
        <w:numPr>
          <w:ilvl w:val="0"/>
          <w:numId w:val="1325"/>
        </w:numPr>
        <w:rPr/>
      </w:pPr>
      <w:r>
        <w:rPr/>
        <w:t>sub-index contribution waterfall;</w:t>
      </w:r>
    </w:p>
    <w:p>
      <w:pPr>
        <w:pStyle w:val="Compact"/>
        <w:widowControl/>
        <w:numPr>
          <w:ilvl w:val="0"/>
          <w:numId w:val="1326"/>
        </w:numPr>
        <w:rPr/>
      </w:pPr>
      <w:r>
        <w:rPr/>
        <w:t>VRI and Opportunity Gap;</w:t>
      </w:r>
    </w:p>
    <w:p>
      <w:pPr>
        <w:pStyle w:val="Compact"/>
        <w:widowControl/>
        <w:numPr>
          <w:ilvl w:val="0"/>
          <w:numId w:val="1327"/>
        </w:numPr>
        <w:rPr/>
      </w:pPr>
      <w:r>
        <w:rPr/>
        <w:t>VRS and domain breakdown;</w:t>
      </w:r>
    </w:p>
    <w:p>
      <w:pPr>
        <w:pStyle w:val="Compact"/>
        <w:widowControl/>
        <w:numPr>
          <w:ilvl w:val="0"/>
          <w:numId w:val="1328"/>
        </w:numPr>
        <w:rPr/>
      </w:pPr>
      <w:r>
        <w:rPr/>
        <w:t>VCS and evidence coverage;</w:t>
      </w:r>
    </w:p>
    <w:p>
      <w:pPr>
        <w:pStyle w:val="Compact"/>
        <w:widowControl/>
        <w:numPr>
          <w:ilvl w:val="0"/>
          <w:numId w:val="1329"/>
        </w:numPr>
        <w:rPr/>
      </w:pPr>
      <w:r>
        <w:rPr/>
        <w:t>data freshness and source status;</w:t>
      </w:r>
    </w:p>
    <w:p>
      <w:pPr>
        <w:pStyle w:val="Compact"/>
        <w:widowControl/>
        <w:numPr>
          <w:ilvl w:val="0"/>
          <w:numId w:val="1330"/>
        </w:numPr>
        <w:rPr/>
      </w:pPr>
      <w:r>
        <w:rPr/>
        <w:t>adapter and methodology versions;</w:t>
      </w:r>
    </w:p>
    <w:p>
      <w:pPr>
        <w:pStyle w:val="Compact"/>
        <w:widowControl/>
        <w:numPr>
          <w:ilvl w:val="0"/>
          <w:numId w:val="1331"/>
        </w:numPr>
        <w:rPr/>
      </w:pPr>
      <w:bookmarkStart w:id="481" w:name="network-dashboard"/>
      <w:r>
        <w:rPr/>
        <w:t>open disputes and material events.</w:t>
      </w:r>
      <w:bookmarkEnd w:id="481"/>
    </w:p>
    <w:p>
      <w:pPr>
        <w:pStyle w:val="Heading2"/>
        <w:keepNext w:val="true"/>
        <w:keepLines/>
        <w:widowControl/>
        <w:rPr/>
      </w:pPr>
      <w:bookmarkStart w:id="482" w:name="__RefHeading___Toc8651_528838595"/>
      <w:bookmarkEnd w:id="482"/>
      <w:r>
        <w:rPr/>
        <w:t>29.3 Evidence explorer</w:t>
      </w:r>
    </w:p>
    <w:p>
      <w:pPr>
        <w:pStyle w:val="Normal"/>
        <w:rPr/>
      </w:pPr>
      <w:r>
        <w:rPr/>
        <w:t>Users can move from a headline score to:</w:t>
      </w:r>
    </w:p>
    <w:p>
      <w:pPr>
        <w:pStyle w:val="Compact"/>
        <w:widowControl/>
        <w:numPr>
          <w:ilvl w:val="0"/>
          <w:numId w:val="1332"/>
        </w:numPr>
        <w:rPr/>
      </w:pPr>
      <w:r>
        <w:rPr/>
        <w:t>parent index;</w:t>
      </w:r>
    </w:p>
    <w:p>
      <w:pPr>
        <w:pStyle w:val="Compact"/>
        <w:widowControl/>
        <w:numPr>
          <w:ilvl w:val="0"/>
          <w:numId w:val="1333"/>
        </w:numPr>
        <w:rPr/>
      </w:pPr>
      <w:r>
        <w:rPr/>
        <w:t>sub-index;</w:t>
      </w:r>
    </w:p>
    <w:p>
      <w:pPr>
        <w:pStyle w:val="Compact"/>
        <w:widowControl/>
        <w:numPr>
          <w:ilvl w:val="0"/>
          <w:numId w:val="1334"/>
        </w:numPr>
        <w:rPr/>
      </w:pPr>
      <w:r>
        <w:rPr/>
        <w:t>normalised score;</w:t>
      </w:r>
    </w:p>
    <w:p>
      <w:pPr>
        <w:pStyle w:val="Compact"/>
        <w:widowControl/>
        <w:numPr>
          <w:ilvl w:val="0"/>
          <w:numId w:val="1335"/>
        </w:numPr>
        <w:rPr/>
      </w:pPr>
      <w:r>
        <w:rPr/>
        <w:t>transformed observation;</w:t>
      </w:r>
    </w:p>
    <w:p>
      <w:pPr>
        <w:pStyle w:val="Compact"/>
        <w:widowControl/>
        <w:numPr>
          <w:ilvl w:val="0"/>
          <w:numId w:val="1336"/>
        </w:numPr>
        <w:rPr/>
      </w:pPr>
      <w:r>
        <w:rPr/>
        <w:t>raw source value;</w:t>
      </w:r>
    </w:p>
    <w:p>
      <w:pPr>
        <w:pStyle w:val="Compact"/>
        <w:widowControl/>
        <w:numPr>
          <w:ilvl w:val="0"/>
          <w:numId w:val="1337"/>
        </w:numPr>
        <w:rPr/>
      </w:pPr>
      <w:r>
        <w:rPr/>
        <w:t>extraction query or code;</w:t>
      </w:r>
    </w:p>
    <w:p>
      <w:pPr>
        <w:pStyle w:val="Compact"/>
        <w:widowControl/>
        <w:numPr>
          <w:ilvl w:val="0"/>
          <w:numId w:val="1338"/>
        </w:numPr>
        <w:rPr/>
      </w:pPr>
      <w:r>
        <w:rPr/>
        <w:t>source and block range.</w:t>
      </w:r>
    </w:p>
    <w:p>
      <w:pPr>
        <w:pStyle w:val="Compact"/>
        <w:numPr>
          <w:ilvl w:val="0"/>
          <w:numId w:val="1339"/>
        </w:numPr>
        <w:rPr/>
      </w:pPr>
      <w:r>
        <w:rPr/>
        <w:t>preserved evidence package or verified replacement representation;</w:t>
      </w:r>
    </w:p>
    <w:p>
      <w:pPr>
        <w:pStyle w:val="Compact"/>
        <w:numPr>
          <w:ilvl w:val="0"/>
          <w:numId w:val="1340"/>
        </w:numPr>
        <w:rPr/>
      </w:pPr>
      <w:r>
        <w:rPr/>
        <w:t>authoritative block, slot, transaction, log, account-state coordinate or external source range;</w:t>
      </w:r>
    </w:p>
    <w:p>
      <w:pPr>
        <w:pStyle w:val="Compact"/>
        <w:numPr>
          <w:ilvl w:val="0"/>
          <w:numId w:val="1341"/>
        </w:numPr>
        <w:rPr/>
      </w:pPr>
      <w:r>
        <w:rPr/>
        <w:t>source/provider/endpoint, retrieval time, query or extraction method, and provenance continuity.</w:t>
      </w:r>
    </w:p>
    <w:p>
      <w:pPr>
        <w:pStyle w:val="Normal"/>
        <w:rPr/>
      </w:pPr>
      <w:bookmarkStart w:id="483" w:name="evidence-explorer"/>
      <w:r>
        <w:rPr/>
        <w:t>This drill-down is central to the framework’s claim of transparency.</w:t>
      </w:r>
      <w:bookmarkEnd w:id="483"/>
    </w:p>
    <w:p>
      <w:pPr>
        <w:pStyle w:val="Heading2"/>
        <w:keepNext w:val="true"/>
        <w:keepLines/>
        <w:widowControl/>
        <w:rPr/>
      </w:pPr>
      <w:bookmarkStart w:id="484" w:name="__RefHeading___Toc8653_528838595"/>
      <w:bookmarkEnd w:id="484"/>
      <w:r>
        <w:rPr/>
        <w:t>29.4 Comparative analysis</w:t>
      </w:r>
    </w:p>
    <w:p>
      <w:pPr>
        <w:pStyle w:val="Normal"/>
        <w:rPr/>
      </w:pPr>
      <w:r>
        <w:rPr/>
        <w:t>VoxUI supports:</w:t>
      </w:r>
    </w:p>
    <w:p>
      <w:pPr>
        <w:pStyle w:val="Compact"/>
        <w:widowControl/>
        <w:numPr>
          <w:ilvl w:val="0"/>
          <w:numId w:val="1342"/>
        </w:numPr>
        <w:rPr/>
      </w:pPr>
      <w:r>
        <w:rPr/>
        <w:t>side-by-side network comparison;</w:t>
      </w:r>
    </w:p>
    <w:p>
      <w:pPr>
        <w:pStyle w:val="Compact"/>
        <w:widowControl/>
        <w:numPr>
          <w:ilvl w:val="0"/>
          <w:numId w:val="1343"/>
        </w:numPr>
        <w:rPr/>
      </w:pPr>
      <w:r>
        <w:rPr/>
        <w:t>fixed-date and historical snapshots;</w:t>
      </w:r>
    </w:p>
    <w:p>
      <w:pPr>
        <w:pStyle w:val="Compact"/>
        <w:widowControl/>
        <w:numPr>
          <w:ilvl w:val="0"/>
          <w:numId w:val="1344"/>
        </w:numPr>
        <w:rPr/>
      </w:pPr>
      <w:r>
        <w:rPr/>
        <w:t>VTS versus VRI scatter plots;</w:t>
      </w:r>
    </w:p>
    <w:p>
      <w:pPr>
        <w:pStyle w:val="Compact"/>
        <w:widowControl/>
        <w:numPr>
          <w:ilvl w:val="0"/>
          <w:numId w:val="1345"/>
        </w:numPr>
        <w:rPr/>
      </w:pPr>
      <w:r>
        <w:rPr/>
        <w:t>Opportunity Gap rankings filtered by VCS and VRS;</w:t>
      </w:r>
    </w:p>
    <w:p>
      <w:pPr>
        <w:pStyle w:val="Compact"/>
        <w:widowControl/>
        <w:numPr>
          <w:ilvl w:val="0"/>
          <w:numId w:val="1346"/>
        </w:numPr>
        <w:rPr/>
      </w:pPr>
      <w:r>
        <w:rPr/>
        <w:t>ERU-relative performance;</w:t>
      </w:r>
    </w:p>
    <w:p>
      <w:pPr>
        <w:pStyle w:val="Compact"/>
        <w:widowControl/>
        <w:numPr>
          <w:ilvl w:val="0"/>
          <w:numId w:val="1347"/>
        </w:numPr>
        <w:rPr/>
      </w:pPr>
      <w:r>
        <w:rPr/>
        <w:t>architecture and ecosystem cohorts;</w:t>
      </w:r>
    </w:p>
    <w:p>
      <w:pPr>
        <w:pStyle w:val="Compact"/>
        <w:widowControl/>
        <w:numPr>
          <w:ilvl w:val="0"/>
          <w:numId w:val="1348"/>
        </w:numPr>
        <w:rPr/>
      </w:pPr>
      <w:r>
        <w:rPr/>
        <w:t>stress-event comparison;</w:t>
      </w:r>
    </w:p>
    <w:p>
      <w:pPr>
        <w:pStyle w:val="Compact"/>
        <w:widowControl/>
        <w:numPr>
          <w:ilvl w:val="0"/>
          <w:numId w:val="1349"/>
        </w:numPr>
        <w:rPr/>
      </w:pPr>
      <w:r>
        <w:rPr/>
        <w:t>correlation and sensitivity tools;</w:t>
      </w:r>
    </w:p>
    <w:p>
      <w:pPr>
        <w:pStyle w:val="Compact"/>
        <w:widowControl/>
        <w:numPr>
          <w:ilvl w:val="0"/>
          <w:numId w:val="1350"/>
        </w:numPr>
        <w:rPr/>
      </w:pPr>
      <w:bookmarkStart w:id="485" w:name="comparative-analysis"/>
      <w:r>
        <w:rPr/>
        <w:t>V-FOREX reference pair charts.</w:t>
      </w:r>
      <w:bookmarkEnd w:id="485"/>
    </w:p>
    <w:p>
      <w:pPr>
        <w:pStyle w:val="Heading2"/>
        <w:keepNext w:val="true"/>
        <w:keepLines/>
        <w:widowControl/>
        <w:rPr/>
      </w:pPr>
      <w:bookmarkStart w:id="486" w:name="__RefHeading___Toc8655_528838595"/>
      <w:bookmarkEnd w:id="486"/>
      <w:r>
        <w:rPr/>
        <w:t>29.5 Governance interface</w:t>
      </w:r>
    </w:p>
    <w:p>
      <w:pPr>
        <w:pStyle w:val="Normal"/>
        <w:rPr/>
      </w:pPr>
      <w:bookmarkStart w:id="487" w:name="governance-interface"/>
      <w:r>
        <w:rPr/>
        <w:t>The governance interface displays proposal text, code and configuration diffs, simulations, votes, delegates, conflicts, timelocks and execution state. Every activated change links to the methodology version it created.</w:t>
      </w:r>
      <w:bookmarkEnd w:id="487"/>
    </w:p>
    <w:p>
      <w:pPr>
        <w:pStyle w:val="Heading2"/>
        <w:keepNext w:val="true"/>
        <w:keepLines/>
        <w:widowControl/>
        <w:rPr/>
      </w:pPr>
      <w:bookmarkStart w:id="488" w:name="__RefHeading___Toc8657_528838595"/>
      <w:bookmarkEnd w:id="488"/>
      <w:r>
        <w:rPr/>
        <w:t>29.6 Public audit interface</w:t>
      </w:r>
    </w:p>
    <w:p>
      <w:pPr>
        <w:pStyle w:val="Normal"/>
        <w:rPr/>
      </w:pPr>
      <w:r>
        <w:rPr/>
        <w:t>The audit interface enables download of:</w:t>
      </w:r>
    </w:p>
    <w:p>
      <w:pPr>
        <w:pStyle w:val="Compact"/>
        <w:widowControl/>
        <w:numPr>
          <w:ilvl w:val="0"/>
          <w:numId w:val="1351"/>
        </w:numPr>
        <w:rPr/>
      </w:pPr>
      <w:r>
        <w:rPr/>
        <w:t>raw and transformed observations;</w:t>
      </w:r>
    </w:p>
    <w:p>
      <w:pPr>
        <w:pStyle w:val="Compact"/>
        <w:widowControl/>
        <w:numPr>
          <w:ilvl w:val="0"/>
          <w:numId w:val="1352"/>
        </w:numPr>
        <w:rPr/>
      </w:pPr>
      <w:r>
        <w:rPr/>
        <w:t>calculation manifests;</w:t>
      </w:r>
    </w:p>
    <w:p>
      <w:pPr>
        <w:pStyle w:val="Compact"/>
        <w:widowControl/>
        <w:numPr>
          <w:ilvl w:val="0"/>
          <w:numId w:val="1353"/>
        </w:numPr>
        <w:rPr/>
      </w:pPr>
      <w:r>
        <w:rPr/>
        <w:t>signed result snapshots;</w:t>
      </w:r>
    </w:p>
    <w:p>
      <w:pPr>
        <w:pStyle w:val="Compact"/>
        <w:widowControl/>
        <w:numPr>
          <w:ilvl w:val="0"/>
          <w:numId w:val="1354"/>
        </w:numPr>
        <w:rPr/>
      </w:pPr>
      <w:r>
        <w:rPr/>
        <w:t>adapter source and build hashes;</w:t>
      </w:r>
    </w:p>
    <w:p>
      <w:pPr>
        <w:pStyle w:val="Compact"/>
        <w:widowControl/>
        <w:numPr>
          <w:ilvl w:val="0"/>
          <w:numId w:val="1355"/>
        </w:numPr>
        <w:rPr/>
      </w:pPr>
      <w:r>
        <w:rPr/>
        <w:t>benchmark configuration;</w:t>
      </w:r>
    </w:p>
    <w:p>
      <w:pPr>
        <w:pStyle w:val="Compact"/>
        <w:widowControl/>
        <w:numPr>
          <w:ilvl w:val="0"/>
          <w:numId w:val="1356"/>
        </w:numPr>
        <w:rPr/>
      </w:pPr>
      <w:r>
        <w:rPr/>
        <w:t>historical versions;</w:t>
      </w:r>
    </w:p>
    <w:p>
      <w:pPr>
        <w:pStyle w:val="Compact"/>
        <w:widowControl/>
        <w:numPr>
          <w:ilvl w:val="0"/>
          <w:numId w:val="1357"/>
        </w:numPr>
        <w:rPr/>
      </w:pPr>
      <w:bookmarkStart w:id="489" w:name="public-audit-interface"/>
      <w:r>
        <w:rPr/>
        <w:t>dispute and correction records.</w:t>
      </w:r>
      <w:bookmarkEnd w:id="489"/>
    </w:p>
    <w:p>
      <w:pPr>
        <w:pStyle w:val="Heading2"/>
        <w:keepNext w:val="true"/>
        <w:keepLines/>
        <w:widowControl/>
        <w:rPr/>
      </w:pPr>
      <w:bookmarkStart w:id="490" w:name="__RefHeading___Toc8659_528838595"/>
      <w:bookmarkEnd w:id="490"/>
      <w:r>
        <w:rPr/>
        <w:t>29.7 Accessibility and clarity</w:t>
      </w:r>
    </w:p>
    <w:p>
      <w:pPr>
        <w:pStyle w:val="Normal"/>
        <w:rPr/>
      </w:pPr>
      <w:bookmarkStart w:id="491" w:name="accessibility-and-clarity"/>
      <w:bookmarkStart w:id="492" w:name="voxui-transparency-layer"/>
      <w:r>
        <w:rPr/>
        <w:t>VoxUI must avoid presenting complex outputs as unexplained scores. Every page provides plain-language interpretation, technical definitions and warnings. Colour is not the only carrier of meaning. Data tables and machine-readable downloads are available for accessibility and research.</w:t>
      </w:r>
      <w:bookmarkEnd w:id="491"/>
      <w:bookmarkEnd w:id="492"/>
    </w:p>
    <w:p>
      <w:pPr>
        <w:pStyle w:val="Heading1"/>
        <w:keepNext w:val="true"/>
        <w:keepLines/>
        <w:widowControl/>
        <w:pBdr>
          <w:bottom w:val="single" w:sz="6" w:space="5" w:color="8AB2BF"/>
        </w:pBdr>
        <w:jc w:val="left"/>
        <w:rPr/>
      </w:pPr>
      <w:bookmarkStart w:id="493" w:name="__RefHeading___Toc8661_528838595"/>
      <w:bookmarkEnd w:id="493"/>
      <w:r>
        <w:rPr/>
        <w:t>30. Voxonomics API and Reproducibility Standard</w:t>
      </w:r>
    </w:p>
    <w:p>
      <w:pPr>
        <w:pStyle w:val="Heading2"/>
        <w:keepNext w:val="true"/>
        <w:keepLines/>
        <w:widowControl/>
        <w:rPr/>
      </w:pPr>
      <w:bookmarkStart w:id="494" w:name="__RefHeading___Toc8663_528838595"/>
      <w:bookmarkEnd w:id="494"/>
      <w:r>
        <w:rPr/>
        <w:t>30.1 API principles</w:t>
      </w:r>
    </w:p>
    <w:p>
      <w:pPr>
        <w:pStyle w:val="Normal"/>
        <w:rPr/>
      </w:pPr>
      <w:r>
        <w:rPr/>
        <w:t>The Voxonomics API is:</w:t>
      </w:r>
    </w:p>
    <w:p>
      <w:pPr>
        <w:pStyle w:val="Compact"/>
        <w:widowControl/>
        <w:numPr>
          <w:ilvl w:val="0"/>
          <w:numId w:val="1358"/>
        </w:numPr>
        <w:rPr/>
      </w:pPr>
      <w:r>
        <w:rPr/>
        <w:t>public by default;</w:t>
      </w:r>
    </w:p>
    <w:p>
      <w:pPr>
        <w:pStyle w:val="Compact"/>
        <w:widowControl/>
        <w:numPr>
          <w:ilvl w:val="0"/>
          <w:numId w:val="1359"/>
        </w:numPr>
        <w:rPr/>
      </w:pPr>
      <w:r>
        <w:rPr/>
        <w:t>versioned;</w:t>
      </w:r>
    </w:p>
    <w:p>
      <w:pPr>
        <w:pStyle w:val="Compact"/>
        <w:widowControl/>
        <w:numPr>
          <w:ilvl w:val="0"/>
          <w:numId w:val="1360"/>
        </w:numPr>
        <w:rPr/>
      </w:pPr>
      <w:r>
        <w:rPr/>
        <w:t>deterministic for a fixed snapshot;</w:t>
      </w:r>
    </w:p>
    <w:p>
      <w:pPr>
        <w:pStyle w:val="Compact"/>
        <w:widowControl/>
        <w:numPr>
          <w:ilvl w:val="0"/>
          <w:numId w:val="1361"/>
        </w:numPr>
        <w:rPr/>
      </w:pPr>
      <w:r>
        <w:rPr/>
        <w:t>explicit about units, time and scope;</w:t>
      </w:r>
    </w:p>
    <w:p>
      <w:pPr>
        <w:pStyle w:val="Compact"/>
        <w:widowControl/>
        <w:numPr>
          <w:ilvl w:val="0"/>
          <w:numId w:val="1362"/>
        </w:numPr>
        <w:rPr/>
      </w:pPr>
      <w:r>
        <w:rPr/>
        <w:t>paginated and rate-limited fairly;</w:t>
      </w:r>
    </w:p>
    <w:p>
      <w:pPr>
        <w:pStyle w:val="Compact"/>
        <w:widowControl/>
        <w:numPr>
          <w:ilvl w:val="0"/>
          <w:numId w:val="1363"/>
        </w:numPr>
        <w:rPr/>
      </w:pPr>
      <w:r>
        <w:rPr/>
        <w:t>accompanied by bulk-download options;</w:t>
      </w:r>
    </w:p>
    <w:p>
      <w:pPr>
        <w:pStyle w:val="Compact"/>
        <w:widowControl/>
        <w:numPr>
          <w:ilvl w:val="0"/>
          <w:numId w:val="1364"/>
        </w:numPr>
        <w:rPr/>
      </w:pPr>
      <w:bookmarkStart w:id="495" w:name="api-principles"/>
      <w:r>
        <w:rPr/>
        <w:t>independent of proprietary client software.</w:t>
      </w:r>
      <w:bookmarkEnd w:id="495"/>
    </w:p>
    <w:p>
      <w:pPr>
        <w:pStyle w:val="Heading2"/>
        <w:keepNext w:val="true"/>
        <w:keepLines/>
        <w:widowControl/>
        <w:rPr/>
      </w:pPr>
      <w:bookmarkStart w:id="496" w:name="__RefHeading___Toc8665_528838595"/>
      <w:bookmarkEnd w:id="496"/>
      <w:r>
        <w:rPr/>
        <w:t>30.2 Core endpoint families</w:t>
      </w:r>
    </w:p>
    <w:p>
      <w:pPr>
        <w:pStyle w:val="Normal"/>
        <w:rPr/>
      </w:pPr>
      <w:r>
        <w:rPr/>
        <w:t>Illustrative endpoint families include:</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Endpoint</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Purpose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/v1/networks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network registry and scope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/v1/scores/{network}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 VTS, VRI, Gap, VRS and VCS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/v1/indices/{network}/{index}</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Parent and sub-index detail</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/v1/history/{network}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Versioned historical series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/v1/observations/{network}/{metric}</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and transformed evidence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/v1/eru</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 and historical ERU benchmark</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/v1/vforex/{base}/{quote}</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Reference pair and confidence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/v1/adapters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Adapter versions, certification and source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/v1/methodology</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 registry and benchmark configuration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/v1/governance</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Proposals, decisions and version changes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/v1/disputes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Open and resolved disputes</w:t>
            </w:r>
            <w:bookmarkStart w:id="497" w:name="core-endpoint-families"/>
            <w:bookmarkEnd w:id="497"/>
          </w:p>
        </w:tc>
      </w:tr>
    </w:tbl>
    <w:p>
      <w:pPr>
        <w:pStyle w:val="Heading2"/>
        <w:keepNext w:val="true"/>
        <w:keepLines/>
        <w:widowControl/>
        <w:rPr/>
      </w:pPr>
      <w:bookmarkStart w:id="498" w:name="__RefHeading___Toc8667_528838595"/>
      <w:bookmarkEnd w:id="498"/>
      <w:r>
        <w:rPr/>
        <w:t>30.3 Score response</w:t>
      </w:r>
    </w:p>
    <w:p>
      <w:pPr>
        <w:pStyle w:val="Normal"/>
        <w:rPr/>
      </w:pPr>
      <w:r>
        <w:rPr/>
        <w:t>A score response includes, at minimum:</w:t>
      </w:r>
    </w:p>
    <w:p>
      <w:pPr>
        <w:pStyle w:val="SourceCode"/>
        <w:widowControl/>
        <w:rPr/>
      </w:pP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"network_id"</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"example-chain"</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"as_of"</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"2026-07-12T00:00:00Z"</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"framework_version"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"3.1.0"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"adapter_version"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"1.2.0"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6842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"eru_core"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6250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1.09472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"indices"</w:t>
      </w:r>
      <w:r>
        <w:rPr>
          <w:rStyle w:val="FunctionTok"/>
          <w:rFonts w:ascii="DejaVu Sans Mono" w:hAnsi="DejaVu Sans Mono"/>
          <w:sz w:val="16"/>
        </w:rPr>
        <w:t>:</w:t>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"pov"</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64.0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"dli"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70.0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"pii"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"rwai"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55.0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74.5</w:t>
      </w:r>
      <w:r>
        <w:rPr>
          <w:rFonts w:ascii="DejaVu Sans Mono" w:hAnsi="DejaVu Sans Mono"/>
          <w:sz w:val="16"/>
        </w:rPr>
        <w:br/>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"vri"</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91</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"opportunity_gap"</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18472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38</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"vcs"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87</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"status"</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"high-confidence"</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"calculation_hash"</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w:t>
      </w:r>
      <w:r>
        <w:rPr>
          <w:rFonts w:ascii="DejaVu Sans Mono" w:hAnsi="DejaVu Sans Mono"/>
          <w:sz w:val="16"/>
        </w:rPr>
        <w:br/>
      </w:r>
      <w:r>
        <w:rPr>
          <w:rStyle w:val="FunctionTok"/>
          <w:rFonts w:ascii="DejaVu Sans Mono" w:hAnsi="DejaVu Sans Mono"/>
          <w:sz w:val="16"/>
        </w:rPr>
        <w:t>}</w:t>
      </w:r>
    </w:p>
    <w:p>
      <w:pPr>
        <w:pStyle w:val="Heading2"/>
        <w:keepNext w:val="true"/>
        <w:keepLines/>
        <w:widowControl/>
        <w:rPr/>
      </w:pPr>
      <w:bookmarkStart w:id="499" w:name="__RefHeading___Toc8669_528838595"/>
      <w:bookmarkEnd w:id="499"/>
      <w:r>
        <w:rPr/>
        <w:t>30.4 Snapshot reproducibility</w:t>
      </w:r>
    </w:p>
    <w:p>
      <w:pPr>
        <w:pStyle w:val="Normal"/>
        <w:rPr/>
      </w:pPr>
      <w:r>
        <w:rPr/>
        <w:t>Every official publication produces a snapshot manifest containing:</w:t>
      </w:r>
    </w:p>
    <w:p>
      <w:pPr>
        <w:pStyle w:val="Compact"/>
        <w:widowControl/>
        <w:numPr>
          <w:ilvl w:val="0"/>
          <w:numId w:val="1365"/>
        </w:numPr>
        <w:rPr/>
      </w:pPr>
      <w:r>
        <w:rPr/>
        <w:t>source observation hashes;</w:t>
      </w:r>
    </w:p>
    <w:p>
      <w:pPr>
        <w:pStyle w:val="Compact"/>
        <w:widowControl/>
        <w:numPr>
          <w:ilvl w:val="0"/>
          <w:numId w:val="1366"/>
        </w:numPr>
        <w:rPr/>
      </w:pPr>
      <w:r>
        <w:rPr/>
        <w:t>adapter commit hashes;</w:t>
      </w:r>
    </w:p>
    <w:p>
      <w:pPr>
        <w:pStyle w:val="Compact"/>
        <w:widowControl/>
        <w:numPr>
          <w:ilvl w:val="0"/>
          <w:numId w:val="1367"/>
        </w:numPr>
        <w:rPr/>
      </w:pPr>
      <w:r>
        <w:rPr/>
        <w:t>container or build image digest;</w:t>
      </w:r>
    </w:p>
    <w:p>
      <w:pPr>
        <w:pStyle w:val="Compact"/>
        <w:widowControl/>
        <w:numPr>
          <w:ilvl w:val="0"/>
          <w:numId w:val="1368"/>
        </w:numPr>
        <w:rPr/>
      </w:pPr>
      <w:r>
        <w:rPr/>
        <w:t>metric registry and benchmark files;</w:t>
      </w:r>
    </w:p>
    <w:p>
      <w:pPr>
        <w:pStyle w:val="Compact"/>
        <w:widowControl/>
        <w:numPr>
          <w:ilvl w:val="0"/>
          <w:numId w:val="1369"/>
        </w:numPr>
        <w:rPr/>
      </w:pPr>
      <w:r>
        <w:rPr/>
        <w:t>calculation output hash;</w:t>
      </w:r>
    </w:p>
    <w:p>
      <w:pPr>
        <w:pStyle w:val="Compact"/>
        <w:widowControl/>
        <w:numPr>
          <w:ilvl w:val="0"/>
          <w:numId w:val="1370"/>
        </w:numPr>
        <w:rPr/>
      </w:pPr>
      <w:r>
        <w:rPr/>
        <w:t>signature set;</w:t>
      </w:r>
    </w:p>
    <w:p>
      <w:pPr>
        <w:pStyle w:val="Compact"/>
        <w:widowControl/>
        <w:numPr>
          <w:ilvl w:val="0"/>
          <w:numId w:val="1371"/>
        </w:numPr>
        <w:rPr/>
      </w:pPr>
      <w:r>
        <w:rPr/>
        <w:t>timestamp and chain publication reference where applicable.</w:t>
      </w:r>
    </w:p>
    <w:p>
      <w:pPr>
        <w:pStyle w:val="Normal"/>
        <w:rPr/>
      </w:pPr>
      <w:bookmarkStart w:id="500" w:name="snapshot-reproducibility"/>
      <w:r>
        <w:rPr/>
        <w:t>A third party should be able to recreate the same result from the same snapshot.</w:t>
      </w:r>
      <w:bookmarkEnd w:id="500"/>
    </w:p>
    <w:p>
      <w:pPr>
        <w:pStyle w:val="BodyText"/>
        <w:rPr/>
      </w:pPr>
      <w:r>
        <w:rPr/>
        <w:t>Snapshot hashes and manifests authenticate identity and integrity; they do not substitute for the evidence bytes needed to reproduce a calculation. Where Edition 3.1 §4.4 requires independent reproduction, the snapshot must identify evidence that remains obtainable or preserved in a representation sufficient to re-derive the observation and measurement. Digest-only verification is not evidence reproduction.</w:t>
      </w:r>
    </w:p>
    <w:p>
      <w:pPr>
        <w:pStyle w:val="Heading2"/>
        <w:keepNext w:val="true"/>
        <w:keepLines/>
        <w:widowControl/>
        <w:rPr/>
      </w:pPr>
      <w:bookmarkStart w:id="501" w:name="__RefHeading___Toc8671_528838595"/>
      <w:bookmarkEnd w:id="501"/>
      <w:r>
        <w:rPr/>
        <w:t>30.5 Authentication and private services</w:t>
      </w:r>
    </w:p>
    <w:p>
      <w:pPr>
        <w:pStyle w:val="Normal"/>
        <w:rPr/>
      </w:pPr>
      <w:bookmarkStart w:id="502" w:name="authentication-and-private-services"/>
      <w:r>
        <w:rPr/>
        <w:t>Public score and methodology endpoints do not require privileged access beyond reasonable abuse controls. Premium services may provide higher throughput, specialist analytics or compute, but the foundational data and calculation must remain publicly reproducible.</w:t>
      </w:r>
      <w:bookmarkEnd w:id="502"/>
    </w:p>
    <w:p>
      <w:pPr>
        <w:pStyle w:val="Heading2"/>
        <w:keepNext w:val="true"/>
        <w:keepLines/>
        <w:widowControl/>
        <w:rPr/>
      </w:pPr>
      <w:bookmarkStart w:id="503" w:name="__RefHeading___Toc8673_528838595"/>
      <w:bookmarkEnd w:id="503"/>
      <w:r>
        <w:rPr/>
        <w:t>30.6 Data licensing</w:t>
      </w:r>
    </w:p>
    <w:p>
      <w:pPr>
        <w:pStyle w:val="Normal"/>
        <w:rPr/>
      </w:pPr>
      <w:bookmarkStart w:id="504" w:name="data-licensing"/>
      <w:r>
        <w:rPr/>
        <w:t>The DAO records source licences and redistribution rights. A source that prohibits public verification cannot become the sole basis for a constitutional metric. Where redistribution is restricted, the framework publishes sufficient query and transformation logic for authorised users to reproduce the value.</w:t>
      </w:r>
      <w:bookmarkEnd w:id="504"/>
    </w:p>
    <w:p>
      <w:pPr>
        <w:pStyle w:val="Heading2"/>
        <w:keepNext w:val="true"/>
        <w:keepLines/>
        <w:widowControl/>
        <w:rPr/>
      </w:pPr>
      <w:bookmarkStart w:id="505" w:name="__RefHeading___Toc8675_528838595"/>
      <w:bookmarkEnd w:id="505"/>
      <w:r>
        <w:rPr/>
        <w:t>30.7 Signed publication</w:t>
      </w:r>
    </w:p>
    <w:p>
      <w:pPr>
        <w:pStyle w:val="Normal"/>
        <w:rPr/>
      </w:pPr>
      <w:bookmarkStart w:id="506" w:name="signed-publication"/>
      <w:bookmarkStart w:id="507" w:name="X7c82f4476299a7132a88b3a8cb145a1c30a2d4b"/>
      <w:r>
        <w:rPr/>
        <w:t>Official calculation nodes sign result manifests. Multiple independent publishers can produce the same result. Signatures establish provenance, not correctness; correctness remains verifiable from the data and code.</w:t>
      </w:r>
      <w:bookmarkEnd w:id="506"/>
      <w:bookmarkEnd w:id="507"/>
      <w:r>
        <w:br w:type="page"/>
      </w:r>
    </w:p>
    <w:p>
      <w:pPr>
        <w:pStyle w:val="PartTitle"/>
        <w:spacing w:before="0" w:after="360"/>
        <w:rPr/>
      </w:pPr>
      <w:bookmarkStart w:id="508" w:name="__RefHeading___Toc8677_528838595"/>
      <w:bookmarkStart w:id="509" w:name="X4b1da29bb10e0eb5876c0786bde04293af7d0df"/>
      <w:bookmarkEnd w:id="508"/>
      <w:r>
        <w:rPr/>
        <w:t>Part VII — Validation, Security and Limitations</w:t>
      </w:r>
      <w:bookmarkEnd w:id="509"/>
    </w:p>
    <w:p>
      <w:pPr>
        <w:pStyle w:val="Heading1"/>
        <w:keepNext w:val="true"/>
        <w:keepLines/>
        <w:widowControl/>
        <w:pBdr>
          <w:bottom w:val="single" w:sz="6" w:space="5" w:color="8AB2BF"/>
        </w:pBdr>
        <w:jc w:val="left"/>
        <w:rPr/>
      </w:pPr>
      <w:bookmarkStart w:id="510" w:name="__RefHeading___Toc8679_528838595"/>
      <w:bookmarkEnd w:id="510"/>
      <w:r>
        <w:rPr/>
        <w:t>31. Validation Framework</w:t>
      </w:r>
    </w:p>
    <w:p>
      <w:pPr>
        <w:pStyle w:val="Heading2"/>
        <w:keepNext w:val="true"/>
        <w:keepLines/>
        <w:widowControl/>
        <w:rPr/>
      </w:pPr>
      <w:bookmarkStart w:id="511" w:name="__RefHeading___Toc8681_528838595"/>
      <w:bookmarkStart w:id="512" w:name="validation-objectives"/>
      <w:bookmarkEnd w:id="511"/>
      <w:r>
        <w:rPr/>
        <w:t>31.1 Validation objectives</w:t>
      </w:r>
    </w:p>
    <w:p>
      <w:pPr>
        <w:pStyle w:val="Normal"/>
        <w:rPr/>
      </w:pPr>
      <w:r>
        <w:rPr/>
        <w:t>A measurement model is credible only when it is tested against explicit objectives. Voxonomics validation asks whether the framework is:</w:t>
      </w:r>
    </w:p>
    <w:p>
      <w:pPr>
        <w:pStyle w:val="Compact"/>
        <w:widowControl/>
        <w:numPr>
          <w:ilvl w:val="0"/>
          <w:numId w:val="1372"/>
        </w:numPr>
        <w:rPr/>
      </w:pPr>
      <w:r>
        <w:rPr>
          <w:b/>
          <w:bCs/>
        </w:rPr>
        <w:t>reproducible</w:t>
      </w:r>
      <w:r>
        <w:rPr/>
        <w:t xml:space="preserve"> — independent implementations produce the same result;</w:t>
      </w:r>
    </w:p>
    <w:p>
      <w:pPr>
        <w:pStyle w:val="Compact"/>
        <w:widowControl/>
        <w:numPr>
          <w:ilvl w:val="0"/>
          <w:numId w:val="1373"/>
        </w:numPr>
        <w:rPr/>
      </w:pPr>
      <w:r>
        <w:rPr>
          <w:b/>
          <w:bCs/>
        </w:rPr>
        <w:t>construct-valid</w:t>
      </w:r>
      <w:r>
        <w:rPr/>
        <w:t xml:space="preserve"> — each metric measures the economic concept it claims to measure;</w:t>
      </w:r>
    </w:p>
    <w:p>
      <w:pPr>
        <w:pStyle w:val="Compact"/>
        <w:widowControl/>
        <w:numPr>
          <w:ilvl w:val="0"/>
          <w:numId w:val="1374"/>
        </w:numPr>
        <w:rPr/>
      </w:pPr>
      <w:r>
        <w:rPr>
          <w:b/>
          <w:bCs/>
        </w:rPr>
        <w:t>comparable</w:t>
      </w:r>
      <w:r>
        <w:rPr/>
        <w:t xml:space="preserve"> — architecture differences do not create systematic unfairness;</w:t>
      </w:r>
    </w:p>
    <w:p>
      <w:pPr>
        <w:pStyle w:val="Compact"/>
        <w:widowControl/>
        <w:numPr>
          <w:ilvl w:val="0"/>
          <w:numId w:val="1375"/>
        </w:numPr>
        <w:rPr/>
      </w:pPr>
      <w:r>
        <w:rPr>
          <w:b/>
          <w:bCs/>
        </w:rPr>
        <w:t>stable</w:t>
      </w:r>
      <w:r>
        <w:rPr/>
        <w:t xml:space="preserve"> — small input changes do not create unreasonable output changes;</w:t>
      </w:r>
    </w:p>
    <w:p>
      <w:pPr>
        <w:pStyle w:val="Compact"/>
        <w:widowControl/>
        <w:numPr>
          <w:ilvl w:val="0"/>
          <w:numId w:val="1376"/>
        </w:numPr>
        <w:rPr/>
      </w:pPr>
      <w:r>
        <w:rPr>
          <w:b/>
          <w:bCs/>
        </w:rPr>
        <w:t>responsive</w:t>
      </w:r>
      <w:r>
        <w:rPr/>
        <w:t xml:space="preserve"> — material economic changes appear within an appropriate time;</w:t>
      </w:r>
    </w:p>
    <w:p>
      <w:pPr>
        <w:pStyle w:val="Compact"/>
        <w:widowControl/>
        <w:numPr>
          <w:ilvl w:val="0"/>
          <w:numId w:val="1377"/>
        </w:numPr>
        <w:rPr/>
      </w:pPr>
      <w:r>
        <w:rPr>
          <w:b/>
          <w:bCs/>
        </w:rPr>
        <w:t>predictively informative</w:t>
      </w:r>
      <w:r>
        <w:rPr/>
        <w:t xml:space="preserve"> — scores have useful relationships with future network outcomes without being presented as guarantees;</w:t>
      </w:r>
    </w:p>
    <w:p>
      <w:pPr>
        <w:pStyle w:val="Compact"/>
        <w:widowControl/>
        <w:numPr>
          <w:ilvl w:val="0"/>
          <w:numId w:val="1378"/>
        </w:numPr>
        <w:rPr/>
      </w:pPr>
      <w:r>
        <w:rPr>
          <w:b/>
          <w:bCs/>
        </w:rPr>
        <w:t>manipulation-resistant</w:t>
      </w:r>
      <w:r>
        <w:rPr/>
        <w:t xml:space="preserve"> — the cost of gaming exceeds plausible benefit;</w:t>
      </w:r>
    </w:p>
    <w:p>
      <w:pPr>
        <w:pStyle w:val="Compact"/>
        <w:widowControl/>
        <w:numPr>
          <w:ilvl w:val="0"/>
          <w:numId w:val="1379"/>
        </w:numPr>
        <w:rPr/>
      </w:pPr>
      <w:r>
        <w:rPr>
          <w:b/>
          <w:bCs/>
        </w:rPr>
        <w:t>interpretable</w:t>
      </w:r>
      <w:r>
        <w:rPr/>
        <w:t xml:space="preserve"> — users can understand why a score changed.</w:t>
      </w:r>
      <w:bookmarkEnd w:id="512"/>
    </w:p>
    <w:p>
      <w:pPr>
        <w:pStyle w:val="Heading2"/>
        <w:keepNext w:val="true"/>
        <w:keepLines/>
        <w:widowControl/>
        <w:rPr/>
      </w:pPr>
      <w:bookmarkStart w:id="513" w:name="__RefHeading___Toc8683_528838595"/>
      <w:bookmarkEnd w:id="513"/>
      <w:r>
        <w:rPr/>
        <w:t>31.2 Unit and integration testing</w:t>
      </w:r>
    </w:p>
    <w:p>
      <w:pPr>
        <w:pStyle w:val="Normal"/>
        <w:rPr/>
      </w:pPr>
      <w:r>
        <w:rPr/>
        <w:t>Every adapter and calculation module includes:</w:t>
      </w:r>
    </w:p>
    <w:p>
      <w:pPr>
        <w:pStyle w:val="Compact"/>
        <w:widowControl/>
        <w:numPr>
          <w:ilvl w:val="0"/>
          <w:numId w:val="1380"/>
        </w:numPr>
        <w:rPr/>
      </w:pPr>
      <w:r>
        <w:rPr/>
        <w:t>deterministic unit tests;</w:t>
      </w:r>
    </w:p>
    <w:p>
      <w:pPr>
        <w:pStyle w:val="Compact"/>
        <w:widowControl/>
        <w:numPr>
          <w:ilvl w:val="0"/>
          <w:numId w:val="1381"/>
        </w:numPr>
        <w:rPr/>
      </w:pPr>
      <w:r>
        <w:rPr/>
        <w:t>boundary and decimal tests;</w:t>
      </w:r>
    </w:p>
    <w:p>
      <w:pPr>
        <w:pStyle w:val="Compact"/>
        <w:widowControl/>
        <w:numPr>
          <w:ilvl w:val="0"/>
          <w:numId w:val="1382"/>
        </w:numPr>
        <w:rPr/>
      </w:pPr>
      <w:r>
        <w:rPr/>
        <w:t>missing-data tests;</w:t>
      </w:r>
    </w:p>
    <w:p>
      <w:pPr>
        <w:pStyle w:val="Compact"/>
        <w:widowControl/>
        <w:numPr>
          <w:ilvl w:val="0"/>
          <w:numId w:val="1383"/>
        </w:numPr>
        <w:rPr/>
      </w:pPr>
      <w:r>
        <w:rPr/>
        <w:t>chain-reorganisation tests;</w:t>
      </w:r>
    </w:p>
    <w:p>
      <w:pPr>
        <w:pStyle w:val="Compact"/>
        <w:widowControl/>
        <w:numPr>
          <w:ilvl w:val="0"/>
          <w:numId w:val="1384"/>
        </w:numPr>
        <w:rPr/>
      </w:pPr>
      <w:r>
        <w:rPr/>
        <w:t>source-failure and fallback tests;</w:t>
      </w:r>
    </w:p>
    <w:p>
      <w:pPr>
        <w:pStyle w:val="Compact"/>
        <w:widowControl/>
        <w:numPr>
          <w:ilvl w:val="0"/>
          <w:numId w:val="1385"/>
        </w:numPr>
        <w:rPr/>
      </w:pPr>
      <w:r>
        <w:rPr/>
        <w:t>known-block fixtures;</w:t>
      </w:r>
    </w:p>
    <w:p>
      <w:pPr>
        <w:pStyle w:val="Compact"/>
        <w:widowControl/>
        <w:numPr>
          <w:ilvl w:val="0"/>
          <w:numId w:val="1386"/>
        </w:numPr>
        <w:rPr/>
      </w:pPr>
      <w:r>
        <w:rPr/>
        <w:t>integration tests against historical snapshots;</w:t>
      </w:r>
    </w:p>
    <w:p>
      <w:pPr>
        <w:pStyle w:val="Compact"/>
        <w:widowControl/>
        <w:numPr>
          <w:ilvl w:val="0"/>
          <w:numId w:val="1387"/>
        </w:numPr>
        <w:rPr/>
      </w:pPr>
      <w:r>
        <w:rPr/>
        <w:t>regression tests for previously corrected defects.</w:t>
      </w:r>
    </w:p>
    <w:p>
      <w:pPr>
        <w:pStyle w:val="Normal"/>
        <w:rPr/>
      </w:pPr>
      <w:bookmarkStart w:id="514" w:name="unit-and-integration-testing"/>
      <w:r>
        <w:rPr/>
        <w:t>Test results are public and tied to adapter certification.</w:t>
      </w:r>
      <w:bookmarkEnd w:id="514"/>
    </w:p>
    <w:p>
      <w:pPr>
        <w:pStyle w:val="Heading2"/>
        <w:keepNext w:val="true"/>
        <w:keepLines/>
        <w:widowControl/>
        <w:rPr/>
      </w:pPr>
      <w:bookmarkStart w:id="515" w:name="__RefHeading___Toc8685_528838595"/>
      <w:bookmarkEnd w:id="515"/>
      <w:r>
        <w:rPr/>
        <w:t>31.3 Construct validation</w:t>
      </w:r>
    </w:p>
    <w:p>
      <w:pPr>
        <w:pStyle w:val="Normal"/>
        <w:rPr/>
      </w:pPr>
      <w:r>
        <w:rPr/>
        <w:t>Construct validation evaluates whether submetrics align with their intended economic property. Methods include:</w:t>
      </w:r>
    </w:p>
    <w:p>
      <w:pPr>
        <w:pStyle w:val="Compact"/>
        <w:widowControl/>
        <w:numPr>
          <w:ilvl w:val="0"/>
          <w:numId w:val="1388"/>
        </w:numPr>
        <w:rPr/>
      </w:pPr>
      <w:r>
        <w:rPr/>
        <w:t>expert review across economics, protocol engineering and market structure;</w:t>
      </w:r>
    </w:p>
    <w:p>
      <w:pPr>
        <w:pStyle w:val="Compact"/>
        <w:widowControl/>
        <w:numPr>
          <w:ilvl w:val="0"/>
          <w:numId w:val="1389"/>
        </w:numPr>
        <w:rPr/>
      </w:pPr>
      <w:r>
        <w:rPr/>
        <w:t>comparison with alternative measurements;</w:t>
      </w:r>
    </w:p>
    <w:p>
      <w:pPr>
        <w:pStyle w:val="Compact"/>
        <w:widowControl/>
        <w:numPr>
          <w:ilvl w:val="0"/>
          <w:numId w:val="1390"/>
        </w:numPr>
        <w:rPr/>
      </w:pPr>
      <w:r>
        <w:rPr/>
        <w:t>event studies around known upgrades, outages, exploits and adoption changes;</w:t>
      </w:r>
    </w:p>
    <w:p>
      <w:pPr>
        <w:pStyle w:val="Compact"/>
        <w:widowControl/>
        <w:numPr>
          <w:ilvl w:val="0"/>
          <w:numId w:val="1391"/>
        </w:numPr>
        <w:rPr/>
      </w:pPr>
      <w:r>
        <w:rPr/>
        <w:t>correlation analysis within and across parent indices;</w:t>
      </w:r>
    </w:p>
    <w:p>
      <w:pPr>
        <w:pStyle w:val="Compact"/>
        <w:widowControl/>
        <w:numPr>
          <w:ilvl w:val="0"/>
          <w:numId w:val="1392"/>
        </w:numPr>
        <w:rPr/>
      </w:pPr>
      <w:r>
        <w:rPr/>
        <w:t>examination of counterexamples;</w:t>
      </w:r>
    </w:p>
    <w:p>
      <w:pPr>
        <w:pStyle w:val="Compact"/>
        <w:widowControl/>
        <w:numPr>
          <w:ilvl w:val="0"/>
          <w:numId w:val="1393"/>
        </w:numPr>
        <w:rPr/>
      </w:pPr>
      <w:r>
        <w:rPr/>
        <w:t>removal tests to identify redundant or dominant variables.</w:t>
      </w:r>
    </w:p>
    <w:p>
      <w:pPr>
        <w:pStyle w:val="Normal"/>
        <w:rPr/>
      </w:pPr>
      <w:bookmarkStart w:id="516" w:name="construct-validation"/>
      <w:r>
        <w:rPr/>
        <w:t>A metric is not retained merely because it is easy to obtain.</w:t>
      </w:r>
      <w:bookmarkEnd w:id="516"/>
    </w:p>
    <w:p>
      <w:pPr>
        <w:pStyle w:val="Heading2"/>
        <w:keepNext w:val="true"/>
        <w:keepLines/>
        <w:widowControl/>
        <w:rPr/>
      </w:pPr>
      <w:bookmarkStart w:id="517" w:name="__RefHeading___Toc8687_528838595"/>
      <w:bookmarkEnd w:id="517"/>
      <w:r>
        <w:rPr/>
        <w:t>31.4 Cross-sectional validation</w:t>
      </w:r>
    </w:p>
    <w:p>
      <w:pPr>
        <w:pStyle w:val="Normal"/>
        <w:rPr/>
      </w:pPr>
      <w:r>
        <w:rPr/>
        <w:t>Cross-sectional tests compare networks at the same date. The objective is not to reproduce market capitalisation rankings. Instead, analysts test whether the framework produces plausible distinctions based on observed economic characteristics and whether architecture groups receive systematic advantage unrelated to performance.</w:t>
      </w:r>
    </w:p>
    <w:p>
      <w:pPr>
        <w:pStyle w:val="BodyText"/>
        <w:widowControl/>
        <w:rPr/>
      </w:pPr>
      <w:r>
        <w:rPr/>
        <w:t>Results are evaluated using:</w:t>
      </w:r>
    </w:p>
    <w:p>
      <w:pPr>
        <w:pStyle w:val="Compact"/>
        <w:widowControl/>
        <w:numPr>
          <w:ilvl w:val="0"/>
          <w:numId w:val="1394"/>
        </w:numPr>
        <w:rPr/>
      </w:pPr>
      <w:r>
        <w:rPr/>
        <w:t>rank stability;</w:t>
      </w:r>
    </w:p>
    <w:p>
      <w:pPr>
        <w:pStyle w:val="Compact"/>
        <w:widowControl/>
        <w:numPr>
          <w:ilvl w:val="0"/>
          <w:numId w:val="1395"/>
        </w:numPr>
        <w:rPr/>
      </w:pPr>
      <w:r>
        <w:rPr/>
        <w:t>distribution of parent indices;</w:t>
      </w:r>
    </w:p>
    <w:p>
      <w:pPr>
        <w:pStyle w:val="Compact"/>
        <w:widowControl/>
        <w:numPr>
          <w:ilvl w:val="0"/>
          <w:numId w:val="1396"/>
        </w:numPr>
        <w:rPr/>
      </w:pPr>
      <w:r>
        <w:rPr/>
        <w:t>architecture-conditioned residuals;</w:t>
      </w:r>
    </w:p>
    <w:p>
      <w:pPr>
        <w:pStyle w:val="Compact"/>
        <w:widowControl/>
        <w:numPr>
          <w:ilvl w:val="0"/>
          <w:numId w:val="1397"/>
        </w:numPr>
        <w:rPr/>
      </w:pPr>
      <w:r>
        <w:rPr/>
        <w:t>concentration of scores near boundaries;</w:t>
      </w:r>
    </w:p>
    <w:p>
      <w:pPr>
        <w:pStyle w:val="Compact"/>
        <w:widowControl/>
        <w:numPr>
          <w:ilvl w:val="0"/>
          <w:numId w:val="1398"/>
        </w:numPr>
        <w:rPr/>
      </w:pPr>
      <w:r>
        <w:rPr/>
        <w:t>sensitivity to benchmark membership;</w:t>
      </w:r>
    </w:p>
    <w:p>
      <w:pPr>
        <w:pStyle w:val="Compact"/>
        <w:widowControl/>
        <w:numPr>
          <w:ilvl w:val="0"/>
          <w:numId w:val="1399"/>
        </w:numPr>
        <w:rPr/>
      </w:pPr>
      <w:bookmarkStart w:id="518" w:name="cross-sectional-validation"/>
      <w:r>
        <w:rPr/>
        <w:t>explanatory contribution of each parent index.</w:t>
      </w:r>
      <w:bookmarkEnd w:id="518"/>
    </w:p>
    <w:p>
      <w:pPr>
        <w:pStyle w:val="Heading2"/>
        <w:keepNext w:val="true"/>
        <w:keepLines/>
        <w:widowControl/>
        <w:rPr/>
      </w:pPr>
      <w:bookmarkStart w:id="519" w:name="__RefHeading___Toc8689_528838595"/>
      <w:bookmarkEnd w:id="519"/>
      <w:r>
        <w:rPr/>
        <w:t>31.5 Time-series validation</w:t>
      </w:r>
    </w:p>
    <w:p>
      <w:pPr>
        <w:pStyle w:val="Normal"/>
        <w:rPr/>
      </w:pPr>
      <w:r>
        <w:rPr/>
        <w:t>Time-series validation examines whether scores respond appropriately to:</w:t>
      </w:r>
    </w:p>
    <w:p>
      <w:pPr>
        <w:pStyle w:val="Compact"/>
        <w:widowControl/>
        <w:numPr>
          <w:ilvl w:val="0"/>
          <w:numId w:val="1400"/>
        </w:numPr>
        <w:rPr/>
      </w:pPr>
      <w:r>
        <w:rPr/>
        <w:t>sustained increases in usage and revenue;</w:t>
      </w:r>
    </w:p>
    <w:p>
      <w:pPr>
        <w:pStyle w:val="Compact"/>
        <w:widowControl/>
        <w:numPr>
          <w:ilvl w:val="0"/>
          <w:numId w:val="1401"/>
        </w:numPr>
        <w:rPr/>
      </w:pPr>
      <w:r>
        <w:rPr/>
        <w:t>declining participation;</w:t>
      </w:r>
    </w:p>
    <w:p>
      <w:pPr>
        <w:pStyle w:val="Compact"/>
        <w:widowControl/>
        <w:numPr>
          <w:ilvl w:val="0"/>
          <w:numId w:val="1402"/>
        </w:numPr>
        <w:rPr/>
      </w:pPr>
      <w:r>
        <w:rPr/>
        <w:t>security incidents and outages;</w:t>
      </w:r>
    </w:p>
    <w:p>
      <w:pPr>
        <w:pStyle w:val="Compact"/>
        <w:widowControl/>
        <w:numPr>
          <w:ilvl w:val="0"/>
          <w:numId w:val="1403"/>
        </w:numPr>
        <w:rPr/>
      </w:pPr>
      <w:r>
        <w:rPr/>
        <w:t>liquidity shocks;</w:t>
      </w:r>
    </w:p>
    <w:p>
      <w:pPr>
        <w:pStyle w:val="Compact"/>
        <w:widowControl/>
        <w:numPr>
          <w:ilvl w:val="0"/>
          <w:numId w:val="1404"/>
        </w:numPr>
        <w:rPr/>
      </w:pPr>
      <w:r>
        <w:rPr/>
        <w:t>stablecoin or bridge failures;</w:t>
      </w:r>
    </w:p>
    <w:p>
      <w:pPr>
        <w:pStyle w:val="Compact"/>
        <w:widowControl/>
        <w:numPr>
          <w:ilvl w:val="0"/>
          <w:numId w:val="1405"/>
        </w:numPr>
        <w:rPr/>
      </w:pPr>
      <w:r>
        <w:rPr/>
        <w:t>major real-world adoption;</w:t>
      </w:r>
    </w:p>
    <w:p>
      <w:pPr>
        <w:pStyle w:val="Compact"/>
        <w:widowControl/>
        <w:numPr>
          <w:ilvl w:val="0"/>
          <w:numId w:val="1406"/>
        </w:numPr>
        <w:rPr/>
      </w:pPr>
      <w:r>
        <w:rPr/>
        <w:t>prolonged bear markets and recovery.</w:t>
      </w:r>
    </w:p>
    <w:p>
      <w:pPr>
        <w:pStyle w:val="Normal"/>
        <w:rPr/>
      </w:pPr>
      <w:bookmarkStart w:id="520" w:name="time-series-validation"/>
      <w:r>
        <w:rPr/>
        <w:t>The model should not react violently to ordinary noise, but it should not smooth away structural deterioration.</w:t>
      </w:r>
      <w:bookmarkEnd w:id="520"/>
    </w:p>
    <w:p>
      <w:pPr>
        <w:pStyle w:val="Heading2"/>
        <w:keepNext w:val="true"/>
        <w:keepLines/>
        <w:widowControl/>
        <w:rPr/>
      </w:pPr>
      <w:bookmarkStart w:id="521" w:name="__RefHeading___Toc8691_528838595"/>
      <w:bookmarkEnd w:id="521"/>
      <w:r>
        <w:rPr/>
        <w:t>31.6 Event studies</w:t>
      </w:r>
    </w:p>
    <w:p>
      <w:pPr>
        <w:pStyle w:val="Normal"/>
        <w:rPr/>
      </w:pPr>
      <w:r>
        <w:rPr/>
        <w:t>For each qualifying event, researchers define pre-event, event and post-event windows. They examine the affected submetrics, PII, ERI, VRS, VCS and headline VTS. Expected direction is documented before analysis where possible.</w:t>
      </w:r>
    </w:p>
    <w:p>
      <w:pPr>
        <w:pStyle w:val="BodyText"/>
        <w:widowControl/>
        <w:rPr/>
      </w:pPr>
      <w:r>
        <w:rPr/>
        <w:t>A model defect is suspected when:</w:t>
      </w:r>
    </w:p>
    <w:p>
      <w:pPr>
        <w:pStyle w:val="Compact"/>
        <w:widowControl/>
        <w:numPr>
          <w:ilvl w:val="0"/>
          <w:numId w:val="1407"/>
        </w:numPr>
        <w:rPr/>
      </w:pPr>
      <w:r>
        <w:rPr/>
        <w:t>a major outage improves integrity;</w:t>
      </w:r>
    </w:p>
    <w:p>
      <w:pPr>
        <w:pStyle w:val="Compact"/>
        <w:widowControl/>
        <w:numPr>
          <w:ilvl w:val="0"/>
          <w:numId w:val="1408"/>
        </w:numPr>
        <w:rPr/>
      </w:pPr>
      <w:r>
        <w:rPr/>
        <w:t>concentrated liquidity appears more resilient than diversified liquidity without evidence;</w:t>
      </w:r>
    </w:p>
    <w:p>
      <w:pPr>
        <w:pStyle w:val="Compact"/>
        <w:widowControl/>
        <w:numPr>
          <w:ilvl w:val="0"/>
          <w:numId w:val="1409"/>
        </w:numPr>
        <w:rPr/>
      </w:pPr>
      <w:r>
        <w:rPr/>
        <w:t>unsustainable emissions create a durable PoV increase;</w:t>
      </w:r>
    </w:p>
    <w:p>
      <w:pPr>
        <w:pStyle w:val="Compact"/>
        <w:widowControl/>
        <w:numPr>
          <w:ilvl w:val="0"/>
          <w:numId w:val="1410"/>
        </w:numPr>
        <w:rPr/>
      </w:pPr>
      <w:r>
        <w:rPr/>
        <w:t>missing data improves confidence;</w:t>
      </w:r>
    </w:p>
    <w:p>
      <w:pPr>
        <w:pStyle w:val="Compact"/>
        <w:widowControl/>
        <w:numPr>
          <w:ilvl w:val="0"/>
          <w:numId w:val="1411"/>
        </w:numPr>
        <w:rPr/>
      </w:pPr>
      <w:bookmarkStart w:id="522" w:name="event-studies"/>
      <w:r>
        <w:rPr/>
        <w:t>market price mechanically changes VTS.</w:t>
      </w:r>
      <w:bookmarkEnd w:id="522"/>
    </w:p>
    <w:p>
      <w:pPr>
        <w:pStyle w:val="Heading2"/>
        <w:keepNext w:val="true"/>
        <w:keepLines/>
        <w:widowControl/>
        <w:rPr/>
      </w:pPr>
      <w:bookmarkStart w:id="523" w:name="__RefHeading___Toc8693_528838595"/>
      <w:bookmarkEnd w:id="523"/>
      <w:r>
        <w:rPr/>
        <w:t>31.7 Out-of-sample testing</w:t>
      </w:r>
    </w:p>
    <w:p>
      <w:pPr>
        <w:pStyle w:val="Normal"/>
        <w:rPr/>
      </w:pPr>
      <w:bookmarkStart w:id="524" w:name="out-of-sample-testing"/>
      <w:r>
        <w:rPr/>
        <w:t>Benchmark and weighting calibration uses separate development and evaluation periods. The DAO avoids repeatedly adjusting the model to fit known historical outcomes. New network and event samples provide out-of-sample tests.</w:t>
      </w:r>
      <w:bookmarkEnd w:id="524"/>
    </w:p>
    <w:p>
      <w:pPr>
        <w:pStyle w:val="Heading2"/>
        <w:keepNext w:val="true"/>
        <w:keepLines/>
        <w:widowControl/>
        <w:rPr/>
      </w:pPr>
      <w:bookmarkStart w:id="525" w:name="__RefHeading___Toc8695_528838595"/>
      <w:bookmarkEnd w:id="525"/>
      <w:r>
        <w:rPr/>
        <w:t>31.8 Predictive research</w:t>
      </w:r>
    </w:p>
    <w:p>
      <w:pPr>
        <w:pStyle w:val="Normal"/>
        <w:rPr/>
      </w:pPr>
      <w:bookmarkStart w:id="526" w:name="predictive-research"/>
      <w:r>
        <w:rPr/>
        <w:t>Voxonomics may be tested against future outcomes such as activity retention, revenue durability, drawdown resilience, validator participation and incident frequency. Predictive correlation is useful evidence, but the framework remains a measurement standard rather than a promise of investment returns.</w:t>
      </w:r>
      <w:bookmarkEnd w:id="526"/>
    </w:p>
    <w:p>
      <w:pPr>
        <w:pStyle w:val="Heading2"/>
        <w:keepNext w:val="true"/>
        <w:keepLines/>
        <w:widowControl/>
        <w:rPr/>
      </w:pPr>
      <w:bookmarkStart w:id="527" w:name="__RefHeading___Toc8697_528838595"/>
      <w:bookmarkEnd w:id="527"/>
      <w:r>
        <w:rPr/>
        <w:t>31.9 Independent replication</w:t>
      </w:r>
    </w:p>
    <w:p>
      <w:pPr>
        <w:pStyle w:val="Normal"/>
        <w:rPr/>
      </w:pPr>
      <w:bookmarkStart w:id="528" w:name="independent-replication"/>
      <w:bookmarkStart w:id="529" w:name="validation-framework"/>
      <w:r>
        <w:rPr/>
        <w:t>Universities, research groups, data providers and communities are encouraged to reproduce results and publish disagreements. The DAO may fund replication but cannot require favourable conclusions.</w:t>
      </w:r>
      <w:bookmarkEnd w:id="528"/>
      <w:bookmarkEnd w:id="529"/>
    </w:p>
    <w:p>
      <w:pPr>
        <w:pStyle w:val="Heading1"/>
        <w:keepNext w:val="true"/>
        <w:keepLines/>
        <w:widowControl/>
        <w:pBdr>
          <w:bottom w:val="single" w:sz="6" w:space="5" w:color="8AB2BF"/>
        </w:pBdr>
        <w:jc w:val="left"/>
        <w:rPr/>
      </w:pPr>
      <w:bookmarkStart w:id="530" w:name="__RefHeading___Toc8699_528838595"/>
      <w:bookmarkEnd w:id="530"/>
      <w:r>
        <w:rPr/>
        <w:t>32. Manipulation Resistance</w:t>
      </w:r>
    </w:p>
    <w:p>
      <w:pPr>
        <w:pStyle w:val="Heading2"/>
        <w:keepNext w:val="true"/>
        <w:keepLines/>
        <w:widowControl/>
        <w:rPr/>
      </w:pPr>
      <w:bookmarkStart w:id="531" w:name="__RefHeading___Toc8701_528838595"/>
      <w:bookmarkEnd w:id="531"/>
      <w:r>
        <w:rPr/>
        <w:t>32.1 Threat model</w:t>
      </w:r>
    </w:p>
    <w:p>
      <w:pPr>
        <w:pStyle w:val="Normal"/>
        <w:rPr/>
      </w:pPr>
      <w:r>
        <w:rPr/>
        <w:t>Potential manipulators include network foundations, applications, validators, exchanges, liquidity providers, market participants, data providers and governance coalitions. Incentives increase if scores affect reputation, capital allocation, collateral or VOX issuance.</w:t>
      </w:r>
    </w:p>
    <w:p>
      <w:pPr>
        <w:pStyle w:val="BodyText"/>
        <w:widowControl/>
        <w:rPr/>
      </w:pPr>
      <w:bookmarkStart w:id="532" w:name="threat-model"/>
      <w:r>
        <w:rPr/>
        <w:t>The framework therefore treats manipulation cost as a design requirement.</w:t>
      </w:r>
      <w:bookmarkEnd w:id="532"/>
    </w:p>
    <w:p>
      <w:pPr>
        <w:pStyle w:val="Heading2"/>
        <w:keepNext w:val="true"/>
        <w:keepLines/>
        <w:widowControl/>
        <w:rPr/>
      </w:pPr>
      <w:bookmarkStart w:id="533" w:name="__RefHeading___Toc8703_528838595"/>
      <w:bookmarkEnd w:id="533"/>
      <w:r>
        <w:rPr/>
        <w:t>32.2 Activity manipulation</w:t>
      </w:r>
    </w:p>
    <w:p>
      <w:pPr>
        <w:pStyle w:val="Normal"/>
        <w:rPr/>
      </w:pPr>
      <w:r>
        <w:rPr/>
        <w:t>Attacks may create transactions, addresses, fees or contract calls to inflate PoV and OPI. Controls include:</w:t>
      </w:r>
    </w:p>
    <w:p>
      <w:pPr>
        <w:pStyle w:val="Compact"/>
        <w:widowControl/>
        <w:numPr>
          <w:ilvl w:val="0"/>
          <w:numId w:val="1412"/>
        </w:numPr>
        <w:rPr/>
      </w:pPr>
      <w:r>
        <w:rPr/>
        <w:t>economic-value thresholds;</w:t>
      </w:r>
    </w:p>
    <w:p>
      <w:pPr>
        <w:pStyle w:val="Compact"/>
        <w:widowControl/>
        <w:numPr>
          <w:ilvl w:val="0"/>
          <w:numId w:val="1413"/>
        </w:numPr>
        <w:rPr/>
      </w:pPr>
      <w:r>
        <w:rPr/>
        <w:t>self-transfer and circular-flow detection;</w:t>
      </w:r>
    </w:p>
    <w:p>
      <w:pPr>
        <w:pStyle w:val="Compact"/>
        <w:widowControl/>
        <w:numPr>
          <w:ilvl w:val="0"/>
          <w:numId w:val="1414"/>
        </w:numPr>
        <w:rPr/>
      </w:pPr>
      <w:r>
        <w:rPr/>
        <w:t>entity and application concentration;</w:t>
      </w:r>
    </w:p>
    <w:p>
      <w:pPr>
        <w:pStyle w:val="Compact"/>
        <w:widowControl/>
        <w:numPr>
          <w:ilvl w:val="0"/>
          <w:numId w:val="1415"/>
        </w:numPr>
        <w:rPr/>
      </w:pPr>
      <w:r>
        <w:rPr/>
        <w:t>subsidy and rebate adjustment;</w:t>
      </w:r>
    </w:p>
    <w:p>
      <w:pPr>
        <w:pStyle w:val="Compact"/>
        <w:widowControl/>
        <w:numPr>
          <w:ilvl w:val="0"/>
          <w:numId w:val="1416"/>
        </w:numPr>
        <w:rPr/>
      </w:pPr>
      <w:r>
        <w:rPr/>
        <w:t>retention requirements;</w:t>
      </w:r>
    </w:p>
    <w:p>
      <w:pPr>
        <w:pStyle w:val="Compact"/>
        <w:widowControl/>
        <w:numPr>
          <w:ilvl w:val="0"/>
          <w:numId w:val="1417"/>
        </w:numPr>
        <w:rPr/>
      </w:pPr>
      <w:r>
        <w:rPr/>
        <w:t>fee-to-value and revenue-to-incentive ratios;</w:t>
      </w:r>
    </w:p>
    <w:p>
      <w:pPr>
        <w:pStyle w:val="Compact"/>
        <w:widowControl/>
        <w:numPr>
          <w:ilvl w:val="0"/>
          <w:numId w:val="1418"/>
        </w:numPr>
        <w:rPr/>
      </w:pPr>
      <w:r>
        <w:rPr/>
        <w:t>capped daily movement;</w:t>
      </w:r>
    </w:p>
    <w:p>
      <w:pPr>
        <w:pStyle w:val="Compact"/>
        <w:widowControl/>
        <w:numPr>
          <w:ilvl w:val="0"/>
          <w:numId w:val="1419"/>
        </w:numPr>
        <w:rPr/>
      </w:pPr>
      <w:r>
        <w:rPr/>
        <w:t>independent source reconciliation.</w:t>
      </w:r>
    </w:p>
    <w:p>
      <w:pPr>
        <w:pStyle w:val="Normal"/>
        <w:rPr/>
      </w:pPr>
      <w:bookmarkStart w:id="534" w:name="activity-manipulation"/>
      <w:r>
        <w:rPr/>
        <w:t>A manipulator may still pay real fees to raise activity. The model estimates whether the economic cost is durable and whether the resulting activity creates value capture.</w:t>
      </w:r>
      <w:bookmarkEnd w:id="534"/>
    </w:p>
    <w:p>
      <w:pPr>
        <w:pStyle w:val="Heading2"/>
        <w:keepNext w:val="true"/>
        <w:keepLines/>
        <w:widowControl/>
        <w:rPr/>
      </w:pPr>
      <w:bookmarkStart w:id="535" w:name="__RefHeading___Toc8705_528838595"/>
      <w:bookmarkEnd w:id="535"/>
      <w:r>
        <w:rPr/>
        <w:t>32.3 Liquidity manipulation</w:t>
      </w:r>
    </w:p>
    <w:p>
      <w:pPr>
        <w:pStyle w:val="Normal"/>
        <w:rPr/>
      </w:pPr>
      <w:bookmarkStart w:id="536" w:name="liquidity-manipulation"/>
      <w:r>
        <w:rPr/>
        <w:t>Temporary deposits can inflate TVL or depth. DLI uses standard trade simulation, liquidity duration, withdrawal stress, provider concentration and incentive adjustment. Snapshot-only TVL is not sufficient.</w:t>
      </w:r>
      <w:bookmarkEnd w:id="536"/>
    </w:p>
    <w:p>
      <w:pPr>
        <w:pStyle w:val="Heading2"/>
        <w:keepNext w:val="true"/>
        <w:keepLines/>
        <w:widowControl/>
        <w:rPr/>
      </w:pPr>
      <w:bookmarkStart w:id="537" w:name="__RefHeading___Toc8707_528838595"/>
      <w:bookmarkEnd w:id="537"/>
      <w:r>
        <w:rPr/>
        <w:t>32.4 Governance manipulation</w:t>
      </w:r>
    </w:p>
    <w:p>
      <w:pPr>
        <w:pStyle w:val="Normal"/>
        <w:rPr/>
      </w:pPr>
      <w:bookmarkStart w:id="538" w:name="governance-manipulation"/>
      <w:r>
        <w:rPr/>
        <w:t>A network can create many low-quality proposals or sybil voters. OPI distinguishes turnout, voting-power distribution, proposal quality, execution and retention. Governance events controlled by the same entity do not count as independent participation.</w:t>
      </w:r>
      <w:bookmarkEnd w:id="538"/>
    </w:p>
    <w:p>
      <w:pPr>
        <w:pStyle w:val="Heading2"/>
        <w:keepNext w:val="true"/>
        <w:keepLines/>
        <w:widowControl/>
        <w:rPr/>
      </w:pPr>
      <w:bookmarkStart w:id="539" w:name="__RefHeading___Toc8709_528838595"/>
      <w:bookmarkEnd w:id="539"/>
      <w:r>
        <w:rPr/>
        <w:t>32.5 Developer manipulation</w:t>
      </w:r>
    </w:p>
    <w:p>
      <w:pPr>
        <w:pStyle w:val="Normal"/>
        <w:rPr/>
      </w:pPr>
      <w:bookmarkStart w:id="540" w:name="developer-manipulation"/>
      <w:r>
        <w:rPr/>
        <w:t>Commit counts can be fabricated. Developer measures filter forks, mirrors, bots, generated code and trivial commits. Productive contribution is assessed through reviewed changes, releases, maintenance and independent contributor retention.</w:t>
      </w:r>
      <w:bookmarkEnd w:id="540"/>
    </w:p>
    <w:p>
      <w:pPr>
        <w:pStyle w:val="Heading2"/>
        <w:keepNext w:val="true"/>
        <w:keepLines/>
        <w:widowControl/>
        <w:rPr/>
      </w:pPr>
      <w:bookmarkStart w:id="541" w:name="__RefHeading___Toc8711_528838595"/>
      <w:bookmarkEnd w:id="541"/>
      <w:r>
        <w:rPr/>
        <w:t>32.6 Adoption manipulation</w:t>
      </w:r>
    </w:p>
    <w:p>
      <w:pPr>
        <w:pStyle w:val="Normal"/>
        <w:rPr/>
      </w:pPr>
      <w:bookmarkStart w:id="542" w:name="adoption-manipulation"/>
      <w:r>
        <w:rPr/>
        <w:t>Announced partnerships and tokenised assets can be created without real use or enforceable claims. RWAI requires observed settlement, persistence, external verification and quality. Unverified announcements receive no quantitative credit.</w:t>
      </w:r>
      <w:bookmarkEnd w:id="542"/>
    </w:p>
    <w:p>
      <w:pPr>
        <w:pStyle w:val="Heading2"/>
        <w:keepNext w:val="true"/>
        <w:keepLines/>
        <w:widowControl/>
        <w:rPr/>
      </w:pPr>
      <w:bookmarkStart w:id="543" w:name="__RefHeading___Toc8713_528838595"/>
      <w:bookmarkEnd w:id="543"/>
      <w:r>
        <w:rPr/>
        <w:t>32.7 Data-provider manipulation</w:t>
      </w:r>
    </w:p>
    <w:p>
      <w:pPr>
        <w:pStyle w:val="Normal"/>
        <w:rPr/>
      </w:pPr>
      <w:bookmarkStart w:id="544" w:name="data-provider-manipulation"/>
      <w:r>
        <w:rPr/>
        <w:t>Providers may classify assets or applications in ways that favour customers. The framework requires methodology disclosure, conflict records, source comparison and the ability to replace a provider without changing the canonical definition.</w:t>
      </w:r>
      <w:bookmarkEnd w:id="544"/>
    </w:p>
    <w:p>
      <w:pPr>
        <w:pStyle w:val="Heading2"/>
        <w:keepNext w:val="true"/>
        <w:keepLines/>
        <w:widowControl/>
        <w:rPr/>
      </w:pPr>
      <w:bookmarkStart w:id="545" w:name="__RefHeading___Toc8715_528838595"/>
      <w:bookmarkEnd w:id="545"/>
      <w:r>
        <w:rPr/>
        <w:t>32.8 Governance capture of the model</w:t>
      </w:r>
    </w:p>
    <w:p>
      <w:pPr>
        <w:pStyle w:val="Normal"/>
        <w:rPr/>
      </w:pPr>
      <w:bookmarkStart w:id="546" w:name="governance-capture-of-the-model"/>
      <w:r>
        <w:rPr/>
        <w:t>A coalition could attempt to alter benchmarks or submetric weights. Constitutional parent equality, impact simulations, timelocks, supermajority thresholds, conflict disclosure and open-source reproducibility reduce this risk.</w:t>
      </w:r>
      <w:bookmarkEnd w:id="546"/>
    </w:p>
    <w:p>
      <w:pPr>
        <w:pStyle w:val="Heading2"/>
        <w:keepNext w:val="true"/>
        <w:keepLines/>
        <w:widowControl/>
        <w:rPr/>
      </w:pPr>
      <w:bookmarkStart w:id="547" w:name="__RefHeading___Toc8717_528838595"/>
      <w:bookmarkEnd w:id="547"/>
      <w:r>
        <w:rPr/>
        <w:t>32.9 Manipulation-budget analysis</w:t>
      </w:r>
    </w:p>
    <w:p>
      <w:pPr>
        <w:pStyle w:val="Normal"/>
        <w:rPr/>
      </w:pPr>
      <w:r>
        <w:rPr/>
        <w:t>Before an optional economic layer is activated, the DAO estimates:</w:t>
      </w:r>
    </w:p>
    <w:p>
      <w:pPr>
        <w:pStyle w:val="BodyText"/>
        <w:keepLines/>
        <w:spacing w:before="80" w:after="160"/>
        <w:jc w:val="center"/>
        <w:rPr/>
      </w:pPr>
      <w:r>
        <w:rPr/>
        <w:drawing>
          <wp:inline distT="0" distB="0" distL="0" distR="0">
            <wp:extent cx="5083175" cy="522605"/>
            <wp:effectExtent l="0" t="0" r="0" b="0"/>
            <wp:docPr id="46" name="Picture 46" descr="Equation&#10;\mathrm{Manipulation\ ROI}=\frac{\mathrm{Expected\ economic\ benefit}}{\mathrm{Estimated\ cost\ and\ risk\ of\ mani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quation&#10;\mathrm{Manipulation\ ROI}=\frac{\mathrm{Expected\ economic\ benefit}}{\mathrm{Estimated\ cost\ and\ risk\ of\ manipulation}}"/>
                    <pic:cNvPicPr>
                      <a:picLocks noChangeAspect="1" noChangeArrowheads="1"/>
                    </pic:cNvPicPr>
                  </pic:nvPicPr>
                  <pic:blipFill>
                    <a:blip r:embed="rId47"/>
                    <a:stretch>
                      <a:fillRect/>
                    </a:stretch>
                  </pic:blipFill>
                  <pic:spPr bwMode="auto">
                    <a:xfrm>
                      <a:off x="0" y="0"/>
                      <a:ext cx="5083175" cy="522605"/>
                    </a:xfrm>
                    <a:prstGeom prst="rect">
                      <a:avLst/>
                    </a:prstGeom>
                    <a:noFill/>
                  </pic:spPr>
                </pic:pic>
              </a:graphicData>
            </a:graphic>
          </wp:inline>
        </w:drawing>
      </w:r>
    </w:p>
    <w:p>
      <w:pPr>
        <w:pStyle w:val="Normal"/>
        <w:rPr/>
      </w:pPr>
      <w:bookmarkStart w:id="548" w:name="manipulation-budget-analysis"/>
      <w:bookmarkStart w:id="549" w:name="manipulation-resistance"/>
      <w:r>
        <w:rPr/>
        <w:t>A design is unacceptable where low-cost activity can produce high-value issuance or collateral benefits. Caps, delays and independent review must reduce expected manipulation ROI below one under reasonable scenarios.</w:t>
      </w:r>
      <w:bookmarkEnd w:id="548"/>
      <w:bookmarkEnd w:id="549"/>
    </w:p>
    <w:p>
      <w:pPr>
        <w:pStyle w:val="Heading1"/>
        <w:keepNext w:val="true"/>
        <w:keepLines/>
        <w:widowControl/>
        <w:pBdr>
          <w:bottom w:val="single" w:sz="6" w:space="5" w:color="8AB2BF"/>
        </w:pBdr>
        <w:jc w:val="left"/>
        <w:rPr/>
      </w:pPr>
      <w:bookmarkStart w:id="550" w:name="__RefHeading___Toc8719_528838595"/>
      <w:bookmarkEnd w:id="550"/>
      <w:r>
        <w:rPr/>
        <w:t>33. Security Architecture</w:t>
      </w:r>
    </w:p>
    <w:p>
      <w:pPr>
        <w:pStyle w:val="Heading2"/>
        <w:keepNext w:val="true"/>
        <w:keepLines/>
        <w:widowControl/>
        <w:rPr/>
      </w:pPr>
      <w:bookmarkStart w:id="551" w:name="__RefHeading___Toc8721_528838595"/>
      <w:bookmarkEnd w:id="551"/>
      <w:r>
        <w:rPr/>
        <w:t>33.1 Security domains</w:t>
      </w:r>
    </w:p>
    <w:p>
      <w:pPr>
        <w:pStyle w:val="Normal"/>
        <w:rPr/>
      </w:pPr>
      <w:r>
        <w:rPr/>
        <w:t>Voxonomics security covers:</w:t>
      </w:r>
    </w:p>
    <w:p>
      <w:pPr>
        <w:pStyle w:val="Compact"/>
        <w:widowControl/>
        <w:numPr>
          <w:ilvl w:val="0"/>
          <w:numId w:val="1420"/>
        </w:numPr>
        <w:rPr/>
      </w:pPr>
      <w:r>
        <w:rPr/>
        <w:t>source and node integrity;</w:t>
      </w:r>
    </w:p>
    <w:p>
      <w:pPr>
        <w:pStyle w:val="Compact"/>
        <w:widowControl/>
        <w:numPr>
          <w:ilvl w:val="0"/>
          <w:numId w:val="1421"/>
        </w:numPr>
        <w:rPr/>
      </w:pPr>
      <w:r>
        <w:rPr/>
        <w:t>adapter and calculation code;</w:t>
      </w:r>
    </w:p>
    <w:p>
      <w:pPr>
        <w:pStyle w:val="Compact"/>
        <w:widowControl/>
        <w:numPr>
          <w:ilvl w:val="0"/>
          <w:numId w:val="1422"/>
        </w:numPr>
        <w:rPr/>
      </w:pPr>
      <w:r>
        <w:rPr/>
        <w:t>build and deployment pipeline;</w:t>
      </w:r>
    </w:p>
    <w:p>
      <w:pPr>
        <w:pStyle w:val="Compact"/>
        <w:widowControl/>
        <w:numPr>
          <w:ilvl w:val="0"/>
          <w:numId w:val="1423"/>
        </w:numPr>
        <w:rPr/>
      </w:pPr>
      <w:r>
        <w:rPr/>
        <w:t>result signing and publication;</w:t>
      </w:r>
    </w:p>
    <w:p>
      <w:pPr>
        <w:pStyle w:val="Compact"/>
        <w:widowControl/>
        <w:numPr>
          <w:ilvl w:val="0"/>
          <w:numId w:val="1424"/>
        </w:numPr>
        <w:rPr/>
      </w:pPr>
      <w:r>
        <w:rPr/>
        <w:t>governance contracts;</w:t>
      </w:r>
    </w:p>
    <w:p>
      <w:pPr>
        <w:pStyle w:val="Compact"/>
        <w:widowControl/>
        <w:numPr>
          <w:ilvl w:val="0"/>
          <w:numId w:val="1425"/>
        </w:numPr>
        <w:rPr/>
      </w:pPr>
      <w:r>
        <w:rPr/>
        <w:t>optional issuance contracts;</w:t>
      </w:r>
    </w:p>
    <w:p>
      <w:pPr>
        <w:pStyle w:val="Compact"/>
        <w:widowControl/>
        <w:numPr>
          <w:ilvl w:val="0"/>
          <w:numId w:val="1426"/>
        </w:numPr>
        <w:rPr/>
      </w:pPr>
      <w:r>
        <w:rPr/>
        <w:t>bridges, oracles and markets;</w:t>
      </w:r>
    </w:p>
    <w:p>
      <w:pPr>
        <w:pStyle w:val="Compact"/>
        <w:widowControl/>
        <w:numPr>
          <w:ilvl w:val="0"/>
          <w:numId w:val="1427"/>
        </w:numPr>
        <w:rPr/>
      </w:pPr>
      <w:bookmarkStart w:id="552" w:name="security-domains"/>
      <w:r>
        <w:rPr/>
        <w:t>keys, access controls and incident response.</w:t>
      </w:r>
      <w:bookmarkEnd w:id="552"/>
    </w:p>
    <w:p>
      <w:pPr>
        <w:pStyle w:val="Heading2"/>
        <w:keepNext w:val="true"/>
        <w:keepLines/>
        <w:widowControl/>
        <w:rPr/>
      </w:pPr>
      <w:bookmarkStart w:id="553" w:name="__RefHeading___Toc8723_528838595"/>
      <w:bookmarkEnd w:id="553"/>
      <w:r>
        <w:rPr/>
        <w:t>33.2 Node and source security</w:t>
      </w:r>
    </w:p>
    <w:p>
      <w:pPr>
        <w:pStyle w:val="Normal"/>
        <w:rPr/>
      </w:pPr>
      <w:bookmarkStart w:id="554" w:name="node-and-source-security"/>
      <w:r>
        <w:rPr/>
        <w:t>Calculation operators use authenticated endpoints, archival verification where required, block-hash checks, chain-ID validation and protection against eclipse or provider substitution. Critical observations are verified against independent sources or direct state.</w:t>
      </w:r>
      <w:bookmarkEnd w:id="554"/>
    </w:p>
    <w:p>
      <w:pPr>
        <w:pStyle w:val="Heading2"/>
        <w:keepNext w:val="true"/>
        <w:keepLines/>
        <w:widowControl/>
        <w:rPr/>
      </w:pPr>
      <w:bookmarkStart w:id="555" w:name="__RefHeading___Toc8725_528838595"/>
      <w:bookmarkEnd w:id="555"/>
      <w:r>
        <w:rPr/>
        <w:t>33.3 Software supply chain</w:t>
      </w:r>
    </w:p>
    <w:p>
      <w:pPr>
        <w:pStyle w:val="Normal"/>
        <w:rPr/>
      </w:pPr>
      <w:bookmarkStart w:id="556" w:name="software-supply-chain"/>
      <w:r>
        <w:rPr/>
        <w:t>Source code is version-controlled and reviewed. Builds use pinned dependencies, reproducible environments, signed artefacts and software-bill-of-materials records. Critical dependencies are monitored for vulnerabilities.</w:t>
      </w:r>
      <w:bookmarkEnd w:id="556"/>
    </w:p>
    <w:p>
      <w:pPr>
        <w:pStyle w:val="Heading2"/>
        <w:keepNext w:val="true"/>
        <w:keepLines/>
        <w:widowControl/>
        <w:rPr/>
      </w:pPr>
      <w:bookmarkStart w:id="557" w:name="__RefHeading___Toc8727_528838595"/>
      <w:bookmarkEnd w:id="557"/>
      <w:r>
        <w:rPr/>
        <w:t>33.4 Calculation determinism</w:t>
      </w:r>
    </w:p>
    <w:p>
      <w:pPr>
        <w:pStyle w:val="Normal"/>
        <w:rPr/>
      </w:pPr>
      <w:bookmarkStart w:id="558" w:name="calculation-determinism"/>
      <w:r>
        <w:rPr/>
        <w:t>For a fixed snapshot and methodology version, the calculation must be deterministic. Floating-point behaviour, rounding, time zones, decimal handling and source-order effects are specified. High-precision decimal arithmetic is used for financial quantities.</w:t>
      </w:r>
      <w:bookmarkEnd w:id="558"/>
    </w:p>
    <w:p>
      <w:pPr>
        <w:pStyle w:val="Heading2"/>
        <w:keepNext w:val="true"/>
        <w:keepLines/>
        <w:widowControl/>
        <w:rPr/>
      </w:pPr>
      <w:bookmarkStart w:id="559" w:name="__RefHeading___Toc8729_528838595"/>
      <w:bookmarkEnd w:id="559"/>
      <w:r>
        <w:rPr/>
        <w:t>33.5 Key management</w:t>
      </w:r>
    </w:p>
    <w:p>
      <w:pPr>
        <w:pStyle w:val="Normal"/>
        <w:rPr/>
      </w:pPr>
      <w:bookmarkStart w:id="560" w:name="key-management"/>
      <w:r>
        <w:rPr/>
        <w:t>Publishing, governance and economic-layer keys use threshold signatures or multi-party control. Roles are separated. Key rotation, recovery, hardware security and compromise procedures are documented.</w:t>
      </w:r>
      <w:bookmarkEnd w:id="560"/>
    </w:p>
    <w:p>
      <w:pPr>
        <w:pStyle w:val="Heading2"/>
        <w:keepNext w:val="true"/>
        <w:keepLines/>
        <w:widowControl/>
        <w:rPr/>
      </w:pPr>
      <w:bookmarkStart w:id="561" w:name="__RefHeading___Toc8731_528838595"/>
      <w:bookmarkEnd w:id="561"/>
      <w:r>
        <w:rPr/>
        <w:t>33.6 Oracle publication</w:t>
      </w:r>
    </w:p>
    <w:p>
      <w:pPr>
        <w:pStyle w:val="Normal"/>
        <w:rPr/>
      </w:pPr>
      <w:bookmarkStart w:id="562" w:name="oracle-publication"/>
      <w:r>
        <w:rPr/>
        <w:t>Where results are placed on-chain, independent publishers sign the same calculation manifest. Contracts verify threshold agreement, freshness, methodology version and deviation bounds. A single publisher cannot silently change a score.</w:t>
      </w:r>
      <w:bookmarkEnd w:id="562"/>
    </w:p>
    <w:p>
      <w:pPr>
        <w:pStyle w:val="Heading2"/>
        <w:keepNext w:val="true"/>
        <w:keepLines/>
        <w:widowControl/>
        <w:rPr/>
      </w:pPr>
      <w:bookmarkStart w:id="563" w:name="__RefHeading___Toc8733_528838595"/>
      <w:bookmarkEnd w:id="563"/>
      <w:r>
        <w:rPr/>
        <w:t>33.7 Governance security</w:t>
      </w:r>
    </w:p>
    <w:p>
      <w:pPr>
        <w:pStyle w:val="Normal"/>
        <w:rPr/>
      </w:pPr>
      <w:bookmarkStart w:id="564" w:name="governance-security"/>
      <w:r>
        <w:rPr/>
        <w:t>Governance contracts use audited proposal, timelock and execution modules. Emergency powers are narrow, time-limited and visible. Upgrade keys cannot bypass constitutional publication and delay rules.</w:t>
      </w:r>
      <w:bookmarkEnd w:id="564"/>
    </w:p>
    <w:p>
      <w:pPr>
        <w:pStyle w:val="Heading2"/>
        <w:keepNext w:val="true"/>
        <w:keepLines/>
        <w:widowControl/>
        <w:rPr/>
      </w:pPr>
      <w:bookmarkStart w:id="565" w:name="__RefHeading___Toc8735_528838595"/>
      <w:bookmarkEnd w:id="565"/>
      <w:r>
        <w:rPr/>
        <w:t>33.8 Economic-layer security</w:t>
      </w:r>
    </w:p>
    <w:p>
      <w:pPr>
        <w:pStyle w:val="Normal"/>
        <w:rPr/>
      </w:pPr>
      <w:r>
        <w:rPr/>
        <w:t>Tokenised VOX contracts require formal review of:</w:t>
      </w:r>
    </w:p>
    <w:p>
      <w:pPr>
        <w:pStyle w:val="Compact"/>
        <w:widowControl/>
        <w:numPr>
          <w:ilvl w:val="0"/>
          <w:numId w:val="1428"/>
        </w:numPr>
        <w:rPr/>
      </w:pPr>
      <w:r>
        <w:rPr/>
        <w:t>indexed-balance accounting;</w:t>
      </w:r>
    </w:p>
    <w:p>
      <w:pPr>
        <w:pStyle w:val="Compact"/>
        <w:widowControl/>
        <w:numPr>
          <w:ilvl w:val="0"/>
          <w:numId w:val="1429"/>
        </w:numPr>
        <w:rPr/>
      </w:pPr>
      <w:r>
        <w:rPr/>
        <w:t>total-supply invariants;</w:t>
      </w:r>
    </w:p>
    <w:p>
      <w:pPr>
        <w:pStyle w:val="Compact"/>
        <w:widowControl/>
        <w:numPr>
          <w:ilvl w:val="0"/>
          <w:numId w:val="1430"/>
        </w:numPr>
        <w:rPr/>
      </w:pPr>
      <w:r>
        <w:rPr/>
        <w:t>bridge representation;</w:t>
      </w:r>
    </w:p>
    <w:p>
      <w:pPr>
        <w:pStyle w:val="Compact"/>
        <w:widowControl/>
        <w:numPr>
          <w:ilvl w:val="0"/>
          <w:numId w:val="1431"/>
        </w:numPr>
        <w:rPr/>
      </w:pPr>
      <w:r>
        <w:rPr/>
        <w:t>staking and lending integration;</w:t>
      </w:r>
    </w:p>
    <w:p>
      <w:pPr>
        <w:pStyle w:val="Compact"/>
        <w:widowControl/>
        <w:numPr>
          <w:ilvl w:val="0"/>
          <w:numId w:val="1432"/>
        </w:numPr>
        <w:rPr/>
      </w:pPr>
      <w:r>
        <w:rPr/>
        <w:t>rounding and dust;</w:t>
      </w:r>
    </w:p>
    <w:p>
      <w:pPr>
        <w:pStyle w:val="Compact"/>
        <w:widowControl/>
        <w:numPr>
          <w:ilvl w:val="0"/>
          <w:numId w:val="1433"/>
        </w:numPr>
        <w:rPr/>
      </w:pPr>
      <w:r>
        <w:rPr/>
        <w:t>pause and recovery modes;</w:t>
      </w:r>
    </w:p>
    <w:p>
      <w:pPr>
        <w:pStyle w:val="Compact"/>
        <w:widowControl/>
        <w:numPr>
          <w:ilvl w:val="0"/>
          <w:numId w:val="1434"/>
        </w:numPr>
        <w:rPr/>
      </w:pPr>
      <w:r>
        <w:rPr/>
        <w:t>governance upgrade boundaries;</w:t>
      </w:r>
    </w:p>
    <w:p>
      <w:pPr>
        <w:pStyle w:val="Compact"/>
        <w:widowControl/>
        <w:numPr>
          <w:ilvl w:val="0"/>
          <w:numId w:val="1435"/>
        </w:numPr>
        <w:rPr/>
      </w:pPr>
      <w:bookmarkStart w:id="566" w:name="economic-layer-security"/>
      <w:r>
        <w:rPr/>
        <w:t>interaction with exchanges and automated market makers.</w:t>
      </w:r>
      <w:bookmarkEnd w:id="566"/>
    </w:p>
    <w:p>
      <w:pPr>
        <w:pStyle w:val="Heading2"/>
        <w:keepNext w:val="true"/>
        <w:keepLines/>
        <w:widowControl/>
        <w:rPr/>
      </w:pPr>
      <w:bookmarkStart w:id="567" w:name="__RefHeading___Toc8737_528838595"/>
      <w:bookmarkEnd w:id="567"/>
      <w:r>
        <w:rPr/>
        <w:t>33.9 Incident response</w:t>
      </w:r>
    </w:p>
    <w:p>
      <w:pPr>
        <w:pStyle w:val="Normal"/>
        <w:rPr/>
      </w:pPr>
      <w:bookmarkStart w:id="568" w:name="incident-response"/>
      <w:bookmarkStart w:id="569" w:name="security-architecture"/>
      <w:r>
        <w:rPr/>
        <w:t>The incident process includes detection, classification, containment, evidence preservation, communication, remediation, independent review and post-mortem. Security incidents may affect PII, ERI, VRS and VCS according to predefined rules.</w:t>
      </w:r>
      <w:bookmarkEnd w:id="568"/>
      <w:bookmarkEnd w:id="569"/>
    </w:p>
    <w:p>
      <w:pPr>
        <w:pStyle w:val="Heading1"/>
        <w:keepNext w:val="true"/>
        <w:keepLines/>
        <w:widowControl/>
        <w:pBdr>
          <w:bottom w:val="single" w:sz="6" w:space="5" w:color="8AB2BF"/>
        </w:pBdr>
        <w:jc w:val="left"/>
        <w:rPr/>
      </w:pPr>
      <w:bookmarkStart w:id="570" w:name="__RefHeading___Toc8739_528838595"/>
      <w:bookmarkEnd w:id="570"/>
      <w:r>
        <w:rPr/>
        <w:t>34. Economic, Governance and Legal Risk</w:t>
      </w:r>
    </w:p>
    <w:p>
      <w:pPr>
        <w:pStyle w:val="Heading2"/>
        <w:keepNext w:val="true"/>
        <w:keepLines/>
        <w:widowControl/>
        <w:rPr/>
      </w:pPr>
      <w:bookmarkStart w:id="571" w:name="__RefHeading___Toc8741_528838595"/>
      <w:bookmarkEnd w:id="571"/>
      <w:r>
        <w:rPr/>
        <w:t>34.1 Model risk</w:t>
      </w:r>
    </w:p>
    <w:p>
      <w:pPr>
        <w:pStyle w:val="Normal"/>
        <w:rPr/>
      </w:pPr>
      <w:r>
        <w:rPr/>
        <w:t>Voxonomics simplifies complex economies. Metric definitions, transformations and benchmarks can be incomplete or wrong. Equal parent weighting improves neutrality but does not prove that the six dimensions have equal predictive importance for every use case.</w:t>
      </w:r>
    </w:p>
    <w:p>
      <w:pPr>
        <w:pStyle w:val="BodyText"/>
        <w:widowControl/>
        <w:rPr/>
      </w:pPr>
      <w:bookmarkStart w:id="572" w:name="model-risk"/>
      <w:r>
        <w:rPr/>
        <w:t>Mitigation is transparency, validation, versioning and the availability of component-level analysis.</w:t>
      </w:r>
      <w:bookmarkEnd w:id="572"/>
    </w:p>
    <w:p>
      <w:pPr>
        <w:pStyle w:val="Heading2"/>
        <w:keepNext w:val="true"/>
        <w:keepLines/>
        <w:widowControl/>
        <w:rPr/>
      </w:pPr>
      <w:bookmarkStart w:id="573" w:name="__RefHeading___Toc8743_528838595"/>
      <w:bookmarkEnd w:id="573"/>
      <w:r>
        <w:rPr/>
        <w:t>34.2 Goodhart’s law</w:t>
      </w:r>
    </w:p>
    <w:p>
      <w:pPr>
        <w:pStyle w:val="Normal"/>
        <w:rPr/>
      </w:pPr>
      <w:bookmarkStart w:id="574" w:name="goodharts-law"/>
      <w:r>
        <w:rPr/>
        <w:t>When a measure becomes a target, participants may optimise the measure rather than the underlying value. Voxonomics reduces this risk through multi-dimensional measurement, persistence, anti-gaming rules, periodic review and separation between measurement and issuance. It cannot eliminate the problem.</w:t>
      </w:r>
      <w:bookmarkEnd w:id="574"/>
    </w:p>
    <w:p>
      <w:pPr>
        <w:pStyle w:val="Heading2"/>
        <w:keepNext w:val="true"/>
        <w:keepLines/>
        <w:widowControl/>
        <w:rPr/>
      </w:pPr>
      <w:bookmarkStart w:id="575" w:name="__RefHeading___Toc8745_528838595"/>
      <w:bookmarkEnd w:id="575"/>
      <w:r>
        <w:rPr/>
        <w:t>34.3 Endogeneity and reflexivity</w:t>
      </w:r>
    </w:p>
    <w:p>
      <w:pPr>
        <w:pStyle w:val="Normal"/>
        <w:rPr/>
      </w:pPr>
      <w:bookmarkStart w:id="576" w:name="endogeneity-and-reflexivity"/>
      <w:r>
        <w:rPr/>
        <w:t>Metrics interact. Liquidity can attract users; users create fees; higher valuation funds development; an exploit can reduce both activity and liquidity. The six indices are not statistically independent. The framework treats them as distinct economic perspectives, not causal variables that can be added without interpretation.</w:t>
      </w:r>
      <w:bookmarkEnd w:id="576"/>
    </w:p>
    <w:p>
      <w:pPr>
        <w:pStyle w:val="Heading2"/>
        <w:keepNext w:val="true"/>
        <w:keepLines/>
        <w:widowControl/>
        <w:rPr/>
      </w:pPr>
      <w:bookmarkStart w:id="577" w:name="__RefHeading___Toc8747_528838595"/>
      <w:bookmarkEnd w:id="577"/>
      <w:r>
        <w:rPr/>
        <w:t>34.4 Governance legitimacy</w:t>
      </w:r>
    </w:p>
    <w:p>
      <w:pPr>
        <w:pStyle w:val="Normal"/>
        <w:rPr/>
      </w:pPr>
      <w:bookmarkStart w:id="578" w:name="governance-legitimacy"/>
      <w:r>
        <w:rPr/>
        <w:t>One global DAO creates consistency but also concentrates standard-setting responsibility. Legitimacy depends on open participation, expertise, capture resistance, conflicts policy and the ability to reproduce or fork the framework.</w:t>
      </w:r>
      <w:bookmarkEnd w:id="578"/>
    </w:p>
    <w:p>
      <w:pPr>
        <w:pStyle w:val="Heading2"/>
        <w:keepNext w:val="true"/>
        <w:keepLines/>
        <w:widowControl/>
        <w:rPr/>
      </w:pPr>
      <w:bookmarkStart w:id="579" w:name="__RefHeading___Toc8749_528838595"/>
      <w:bookmarkEnd w:id="579"/>
      <w:r>
        <w:rPr/>
        <w:t>34.5 Data inequality</w:t>
      </w:r>
    </w:p>
    <w:p>
      <w:pPr>
        <w:pStyle w:val="Normal"/>
        <w:rPr/>
      </w:pPr>
      <w:bookmarkStart w:id="580" w:name="data-inequality"/>
      <w:r>
        <w:rPr/>
        <w:t>Older and larger networks may have richer data and longer histories. New or privacy-preserving networks can receive lower VCS. This is not a judgement of their future potential, but it affects comparability. Provisional publication and explicit history requirements reduce false certainty.</w:t>
      </w:r>
      <w:bookmarkEnd w:id="580"/>
    </w:p>
    <w:p>
      <w:pPr>
        <w:pStyle w:val="Heading2"/>
        <w:keepNext w:val="true"/>
        <w:keepLines/>
        <w:widowControl/>
        <w:rPr/>
      </w:pPr>
      <w:bookmarkStart w:id="581" w:name="__RefHeading___Toc8751_528838595"/>
      <w:bookmarkEnd w:id="581"/>
      <w:r>
        <w:rPr/>
        <w:t>34.6 Regulatory risk</w:t>
      </w:r>
    </w:p>
    <w:p>
      <w:pPr>
        <w:pStyle w:val="Normal"/>
        <w:rPr/>
      </w:pPr>
      <w:bookmarkStart w:id="582" w:name="regulatory-risk"/>
      <w:r>
        <w:rPr/>
        <w:t>Laws governing digital assets, market data, financial promotion, privacy, token issuance, collective investment and decentralised governance vary by jurisdiction and change over time. The measurement framework should remain factual and transparent. Optional tokens and markets require separate legal analysis.</w:t>
      </w:r>
      <w:bookmarkEnd w:id="582"/>
    </w:p>
    <w:p>
      <w:pPr>
        <w:pStyle w:val="Heading2"/>
        <w:keepNext w:val="true"/>
        <w:keepLines/>
        <w:widowControl/>
        <w:rPr/>
      </w:pPr>
      <w:bookmarkStart w:id="583" w:name="__RefHeading___Toc8753_528838595"/>
      <w:bookmarkEnd w:id="583"/>
      <w:r>
        <w:rPr/>
        <w:t>34.7 Intellectual-property and licensing risk</w:t>
      </w:r>
    </w:p>
    <w:p>
      <w:pPr>
        <w:pStyle w:val="Normal"/>
        <w:rPr/>
      </w:pPr>
      <w:bookmarkStart w:id="584" w:name="intellectual-property-and-licensing-risk"/>
      <w:r>
        <w:rPr/>
        <w:t>Data, code and labels may have licence restrictions. The standard prioritises open methods and avoids dependence on data that cannot be verified. Contributors must respect source licences and attribution.</w:t>
      </w:r>
      <w:bookmarkEnd w:id="584"/>
    </w:p>
    <w:p>
      <w:pPr>
        <w:pStyle w:val="Heading2"/>
        <w:keepNext w:val="true"/>
        <w:keepLines/>
        <w:widowControl/>
        <w:rPr/>
      </w:pPr>
      <w:bookmarkStart w:id="585" w:name="__RefHeading___Toc8755_528838595"/>
      <w:bookmarkEnd w:id="585"/>
      <w:r>
        <w:rPr/>
        <w:t>34.8 Economic-layer solvency</w:t>
      </w:r>
    </w:p>
    <w:p>
      <w:pPr>
        <w:pStyle w:val="Normal"/>
        <w:rPr/>
      </w:pPr>
      <w:bookmarkStart w:id="586" w:name="economic-layer-solvency"/>
      <w:r>
        <w:rPr/>
        <w:t>An indexed supply mechanism changes quantity but does not create reserves or redemption value. VOX must not be marketed as collateral-backed or stable unless a separate audited design provides those properties.</w:t>
      </w:r>
      <w:bookmarkEnd w:id="586"/>
    </w:p>
    <w:p>
      <w:pPr>
        <w:pStyle w:val="Heading2"/>
        <w:keepNext w:val="true"/>
        <w:keepLines/>
        <w:widowControl/>
        <w:rPr/>
      </w:pPr>
      <w:bookmarkStart w:id="587" w:name="__RefHeading___Toc8757_528838595"/>
      <w:bookmarkEnd w:id="587"/>
      <w:r>
        <w:rPr/>
        <w:t>34.9 Concentration of optional VOX ownership</w:t>
      </w:r>
    </w:p>
    <w:p>
      <w:pPr>
        <w:pStyle w:val="Normal"/>
        <w:rPr/>
      </w:pPr>
      <w:bookmarkStart w:id="588" w:name="concentration-of-optional-vox-ownership"/>
      <w:r>
        <w:rPr/>
        <w:t>A universally calculated asset can still be distributed unfairly. Genesis allocation, treasury control and market concentration affect legitimacy and VRS even if the supply formula is neutral.</w:t>
      </w:r>
      <w:bookmarkEnd w:id="588"/>
    </w:p>
    <w:p>
      <w:pPr>
        <w:pStyle w:val="Heading2"/>
        <w:keepNext w:val="true"/>
        <w:keepLines/>
        <w:widowControl/>
        <w:rPr/>
      </w:pPr>
      <w:bookmarkStart w:id="589" w:name="__RefHeading___Toc8759_528838595"/>
      <w:bookmarkEnd w:id="589"/>
      <w:r>
        <w:rPr/>
        <w:t>34.10 Cross-chain systemic risk</w:t>
      </w:r>
    </w:p>
    <w:p>
      <w:pPr>
        <w:pStyle w:val="Normal"/>
        <w:rPr/>
      </w:pPr>
      <w:bookmarkStart w:id="590" w:name="cross-chain-systemic-risk"/>
      <w:bookmarkStart w:id="591" w:name="economic-governance-and-legal-risk"/>
      <w:r>
        <w:rPr/>
        <w:t>If VOX becomes widely used as collateral or settlement, correlated score changes, bridge failures or oracle interruptions could transmit stress across networks. Exposure limits, circuit breakers and staged adoption are necessary.</w:t>
      </w:r>
      <w:bookmarkEnd w:id="590"/>
      <w:bookmarkEnd w:id="591"/>
    </w:p>
    <w:p>
      <w:pPr>
        <w:pStyle w:val="Heading1"/>
        <w:keepNext w:val="true"/>
        <w:keepLines/>
        <w:widowControl/>
        <w:pBdr>
          <w:bottom w:val="single" w:sz="6" w:space="5" w:color="8AB2BF"/>
        </w:pBdr>
        <w:jc w:val="left"/>
        <w:rPr/>
      </w:pPr>
      <w:bookmarkStart w:id="592" w:name="__RefHeading___Toc8761_528838595"/>
      <w:bookmarkEnd w:id="592"/>
      <w:r>
        <w:rPr/>
        <w:t>35. Limitations and Responsible Interpretation</w:t>
      </w:r>
    </w:p>
    <w:p>
      <w:pPr>
        <w:pStyle w:val="Heading2"/>
        <w:keepNext w:val="true"/>
        <w:keepLines/>
        <w:widowControl/>
        <w:rPr/>
      </w:pPr>
      <w:bookmarkStart w:id="593" w:name="__RefHeading___Toc8763_528838595"/>
      <w:bookmarkStart w:id="594" w:name="a-model-not-absolute-truth"/>
      <w:bookmarkEnd w:id="593"/>
      <w:r>
        <w:rPr/>
        <w:t>35.1 A model, not absolute truth</w:t>
      </w:r>
    </w:p>
    <w:p>
      <w:pPr>
        <w:pStyle w:val="Normal"/>
        <w:rPr/>
      </w:pPr>
      <w:r>
        <w:rPr/>
        <w:t xml:space="preserve">VTS is a model-derived estimate of intrinsic network economic performance. The underlying observations may be objective, but metric selection, transformations and aggregation contain governance choices. The framework therefore uses the phrase </w:t>
      </w:r>
      <w:r>
        <w:rPr>
          <w:b/>
          <w:bCs/>
        </w:rPr>
        <w:t>verifiable economic measurement</w:t>
      </w:r>
      <w:r>
        <w:rPr/>
        <w:t>, not unquestionable economic truth.</w:t>
      </w:r>
      <w:bookmarkEnd w:id="594"/>
    </w:p>
    <w:p>
      <w:pPr>
        <w:pStyle w:val="Heading2"/>
        <w:keepNext w:val="true"/>
        <w:keepLines/>
        <w:widowControl/>
        <w:rPr/>
      </w:pPr>
      <w:bookmarkStart w:id="595" w:name="__RefHeading___Toc8765_528838595"/>
      <w:bookmarkEnd w:id="595"/>
      <w:r>
        <w:rPr/>
        <w:t>35.2 Address activity is not human identity</w:t>
      </w:r>
    </w:p>
    <w:p>
      <w:pPr>
        <w:pStyle w:val="Normal"/>
        <w:rPr/>
      </w:pPr>
      <w:bookmarkStart w:id="596" w:name="address-activity-is-not-human-identity"/>
      <w:r>
        <w:rPr/>
        <w:t>On-chain addresses may represent individuals, institutions, contracts, bots or shared services. Voxonomics avoids claiming a precise human user count where evidence does not support it.</w:t>
      </w:r>
      <w:bookmarkEnd w:id="596"/>
    </w:p>
    <w:p>
      <w:pPr>
        <w:pStyle w:val="Heading2"/>
        <w:keepNext w:val="true"/>
        <w:keepLines/>
        <w:widowControl/>
        <w:rPr/>
      </w:pPr>
      <w:bookmarkStart w:id="597" w:name="__RefHeading___Toc8767_528838595"/>
      <w:bookmarkEnd w:id="597"/>
      <w:r>
        <w:rPr/>
        <w:t>35.3 Off-chain activity can be under-observed</w:t>
      </w:r>
    </w:p>
    <w:p>
      <w:pPr>
        <w:pStyle w:val="Normal"/>
        <w:rPr/>
      </w:pPr>
      <w:bookmarkStart w:id="598" w:name="off-chain-activity-can-be-under-observed"/>
      <w:r>
        <w:rPr/>
        <w:t>A network may support valuable private, enterprise or off-chain activity that is not publicly visible. RWAI records verified evidence; it cannot score unverifiable claims.</w:t>
      </w:r>
      <w:bookmarkEnd w:id="598"/>
    </w:p>
    <w:p>
      <w:pPr>
        <w:pStyle w:val="Heading2"/>
        <w:keepNext w:val="true"/>
        <w:keepLines/>
        <w:widowControl/>
        <w:rPr/>
      </w:pPr>
      <w:bookmarkStart w:id="599" w:name="__RefHeading___Toc8769_528838595"/>
      <w:bookmarkEnd w:id="599"/>
      <w:r>
        <w:rPr/>
        <w:t>35.4 Security is partly unobservable</w:t>
      </w:r>
    </w:p>
    <w:p>
      <w:pPr>
        <w:pStyle w:val="Normal"/>
        <w:rPr/>
      </w:pPr>
      <w:bookmarkStart w:id="600" w:name="security-is-partly-unobservable"/>
      <w:r>
        <w:rPr/>
        <w:t>Undiscovered vulnerabilities and hidden operational dependencies cannot be measured directly. PII and VRS use available evidence and confidence, not guarantees.</w:t>
      </w:r>
      <w:bookmarkEnd w:id="600"/>
    </w:p>
    <w:p>
      <w:pPr>
        <w:pStyle w:val="Heading2"/>
        <w:keepNext w:val="true"/>
        <w:keepLines/>
        <w:widowControl/>
        <w:rPr/>
      </w:pPr>
      <w:bookmarkStart w:id="601" w:name="__RefHeading___Toc8771_528838595"/>
      <w:bookmarkEnd w:id="601"/>
      <w:r>
        <w:rPr/>
        <w:t>35.5 Market expectations can be rational</w:t>
      </w:r>
    </w:p>
    <w:p>
      <w:pPr>
        <w:pStyle w:val="Normal"/>
        <w:rPr/>
      </w:pPr>
      <w:bookmarkStart w:id="602" w:name="market-expectations-can-be-rational"/>
      <w:r>
        <w:rPr/>
        <w:t>A negative Opportunity Gap does not prove overvaluation. Markets may price future technology, network effects or regulatory outcomes before they appear in current data. Conversely, a positive gap may reflect risks omitted from VTS.</w:t>
      </w:r>
      <w:bookmarkEnd w:id="602"/>
    </w:p>
    <w:p>
      <w:pPr>
        <w:pStyle w:val="Heading2"/>
        <w:keepNext w:val="true"/>
        <w:keepLines/>
        <w:widowControl/>
        <w:rPr/>
      </w:pPr>
      <w:bookmarkStart w:id="603" w:name="__RefHeading___Toc8773_528838595"/>
      <w:bookmarkEnd w:id="603"/>
      <w:r>
        <w:rPr/>
        <w:t>35.6 Architecture remains economically relevant</w:t>
      </w:r>
    </w:p>
    <w:p>
      <w:pPr>
        <w:pStyle w:val="Normal"/>
        <w:rPr/>
      </w:pPr>
      <w:bookmarkStart w:id="604" w:name="X58e2e4e687d2c0a0f0b677c73f7327f94c74619"/>
      <w:r>
        <w:rPr/>
        <w:t>Universal definitions improve comparability but do not make architectures identical. Users should inspect adapters, parent indices and dependency profiles rather than relying only on VTS.</w:t>
      </w:r>
      <w:bookmarkEnd w:id="604"/>
    </w:p>
    <w:p>
      <w:pPr>
        <w:pStyle w:val="Heading2"/>
        <w:keepNext w:val="true"/>
        <w:keepLines/>
        <w:widowControl/>
        <w:rPr/>
      </w:pPr>
      <w:bookmarkStart w:id="605" w:name="__RefHeading___Toc8775_528838595"/>
      <w:bookmarkEnd w:id="605"/>
      <w:r>
        <w:rPr/>
        <w:t>35.7 Benchmarks can move</w:t>
      </w:r>
    </w:p>
    <w:p>
      <w:pPr>
        <w:pStyle w:val="Normal"/>
        <w:rPr/>
      </w:pPr>
      <w:bookmarkStart w:id="606" w:name="benchmarks-can-move"/>
      <w:r>
        <w:rPr/>
        <w:t>ERU is designed to track credible high-quality performance. A network’s VTS can change because its own performance changes, because the benchmark changes, or both. VoxUI separates these effects.</w:t>
      </w:r>
      <w:bookmarkEnd w:id="606"/>
    </w:p>
    <w:p>
      <w:pPr>
        <w:pStyle w:val="Heading2"/>
        <w:keepNext w:val="true"/>
        <w:keepLines/>
        <w:widowControl/>
        <w:rPr/>
      </w:pPr>
      <w:bookmarkStart w:id="607" w:name="__RefHeading___Toc8777_528838595"/>
      <w:bookmarkEnd w:id="607"/>
      <w:r>
        <w:rPr/>
        <w:t>35.8 Scores are not personalised advice</w:t>
      </w:r>
    </w:p>
    <w:p>
      <w:pPr>
        <w:pStyle w:val="Normal"/>
        <w:rPr/>
      </w:pPr>
      <w:bookmarkStart w:id="608" w:name="scores-are-not-personalised-advice"/>
      <w:r>
        <w:rPr/>
        <w:t>Voxonomics outputs do not account for an individual’s objectives, time horizon, liquidity needs, tax position or risk tolerance. They are research inputs.</w:t>
      </w:r>
      <w:bookmarkEnd w:id="608"/>
    </w:p>
    <w:p>
      <w:pPr>
        <w:pStyle w:val="Heading2"/>
        <w:keepNext w:val="true"/>
        <w:keepLines/>
        <w:widowControl/>
        <w:rPr/>
      </w:pPr>
      <w:bookmarkStart w:id="609" w:name="__RefHeading___Toc8779_528838595"/>
      <w:bookmarkEnd w:id="609"/>
      <w:r>
        <w:rPr/>
        <w:t>35.9 Finality of this edition</w:t>
      </w:r>
    </w:p>
    <w:p>
      <w:pPr>
        <w:pStyle w:val="Normal"/>
        <w:rPr/>
      </w:pPr>
      <w:r>
        <w:rPr/>
        <w:t>Edition 3.2 preserves the complete Edition 3.1 economic framework and adds the evidence-storage and distributed-node architecture required to operate its verifiability principle at scale. Future evidence may justify improvements. Those improvements must be explicit, versioned and open to challenge, and they must distinguish methodological change from infrastructure change.</w:t>
      </w:r>
    </w:p>
    <w:p>
      <w:pPr>
        <w:pStyle w:val="PartTitle"/>
        <w:spacing w:before="0" w:after="360"/>
        <w:rPr/>
      </w:pPr>
      <w:bookmarkStart w:id="610" w:name="__RefHeading___Toc8781_528838595"/>
      <w:bookmarkStart w:id="611" w:name="X488820702965bfac4228140ffd77b82ab4a9a14"/>
      <w:bookmarkEnd w:id="610"/>
      <w:r>
        <w:rPr/>
        <w:t>Part VIII — Implementation and Future Development</w:t>
      </w:r>
      <w:bookmarkEnd w:id="611"/>
    </w:p>
    <w:p>
      <w:pPr>
        <w:pStyle w:val="Heading1"/>
        <w:keepNext w:val="true"/>
        <w:keepLines/>
        <w:widowControl/>
        <w:pBdr>
          <w:bottom w:val="single" w:sz="6" w:space="5" w:color="8AB2BF"/>
        </w:pBdr>
        <w:jc w:val="left"/>
        <w:rPr/>
      </w:pPr>
      <w:bookmarkStart w:id="612" w:name="__RefHeading___Toc8783_528838595"/>
      <w:bookmarkEnd w:id="612"/>
      <w:r>
        <w:rPr/>
        <w:t>36. Roadmap</w:t>
      </w:r>
    </w:p>
    <w:p>
      <w:pPr>
        <w:pStyle w:val="Normal"/>
        <w:rPr/>
      </w:pPr>
      <w:r>
        <w:rPr/>
        <w:t>The roadmap prioritises measurement, validation and public infrastructure before monetary implementation. Dates are indicative and subject to governance, funding and audit readiness.</w:t>
      </w:r>
    </w:p>
    <w:p>
      <w:pPr>
        <w:pStyle w:val="BodyText"/>
        <w:rPr/>
      </w:pPr>
      <w:r>
        <w:rPr/>
        <w:t>Edition 3.2 does not represent every roadmap phase as complete. The initial implementation programme focuses engineering on Ethereum, Solana and Avalanche as materially different networks. That focus identifies implementation scope only; production certification remains chain-, adapter-, metric- and evidence-specific and must be demonstrated independently.</w:t>
      </w:r>
    </w:p>
    <w:p>
      <w:pPr>
        <w:pStyle w:val="BodyText"/>
        <w:rPr/>
      </w:pPr>
      <w:r>
        <w:rPr/>
        <w:t>The evidence and Vox-in-a-Box architecture in Part IX is intended to support the public measurement-network phases by allowing evidence custody, reproduction and publication resilience to become distributed without creating competing versions of the methodology.</w:t>
      </w:r>
    </w:p>
    <w:p>
      <w:pPr>
        <w:pStyle w:val="Heading2"/>
        <w:keepNext w:val="true"/>
        <w:keepLines/>
        <w:widowControl/>
        <w:rPr/>
      </w:pPr>
      <w:bookmarkStart w:id="613" w:name="__RefHeading___Toc8785_528838595"/>
      <w:bookmarkEnd w:id="613"/>
      <w:r>
        <w:rPr/>
        <w:t>36.1 Phase 0 — Constitutional publication</w:t>
      </w:r>
    </w:p>
    <w:p>
      <w:pPr>
        <w:pStyle w:val="Normal"/>
        <w:rPr/>
      </w:pPr>
      <w:r>
        <w:rPr>
          <w:b/>
          <w:bCs/>
        </w:rPr>
        <w:t>Objective:</w:t>
      </w:r>
      <w:r>
        <w:rPr/>
        <w:t xml:space="preserve"> establish Edition 3.1 as the canonical specification.</w:t>
      </w:r>
    </w:p>
    <w:p>
      <w:pPr>
        <w:pStyle w:val="BodyText"/>
        <w:widowControl/>
        <w:rPr/>
      </w:pPr>
      <w:r>
        <w:rPr/>
        <w:t>Deliverables:</w:t>
      </w:r>
    </w:p>
    <w:p>
      <w:pPr>
        <w:pStyle w:val="Compact"/>
        <w:widowControl/>
        <w:numPr>
          <w:ilvl w:val="0"/>
          <w:numId w:val="1436"/>
        </w:numPr>
        <w:rPr/>
      </w:pPr>
      <w:r>
        <w:rPr/>
        <w:t>publish the whitepaper and machine-readable metric registry;</w:t>
      </w:r>
    </w:p>
    <w:p>
      <w:pPr>
        <w:pStyle w:val="Compact"/>
        <w:widowControl/>
        <w:numPr>
          <w:ilvl w:val="0"/>
          <w:numId w:val="1437"/>
        </w:numPr>
        <w:rPr/>
      </w:pPr>
      <w:r>
        <w:rPr/>
        <w:t>release governance constitution and contribution standards;</w:t>
      </w:r>
    </w:p>
    <w:p>
      <w:pPr>
        <w:pStyle w:val="Compact"/>
        <w:widowControl/>
        <w:numPr>
          <w:ilvl w:val="0"/>
          <w:numId w:val="1438"/>
        </w:numPr>
        <w:rPr/>
      </w:pPr>
      <w:r>
        <w:rPr/>
        <w:t>establish public repositories and issue tracking;</w:t>
      </w:r>
    </w:p>
    <w:p>
      <w:pPr>
        <w:pStyle w:val="Compact"/>
        <w:widowControl/>
        <w:numPr>
          <w:ilvl w:val="0"/>
          <w:numId w:val="1439"/>
        </w:numPr>
        <w:rPr/>
      </w:pPr>
      <w:r>
        <w:rPr/>
        <w:t>define canonical network and asset identifiers;</w:t>
      </w:r>
    </w:p>
    <w:p>
      <w:pPr>
        <w:pStyle w:val="Compact"/>
        <w:widowControl/>
        <w:numPr>
          <w:ilvl w:val="0"/>
          <w:numId w:val="1440"/>
        </w:numPr>
        <w:rPr/>
      </w:pPr>
      <w:r>
        <w:rPr/>
        <w:t>publish data-source and licensing policy;</w:t>
      </w:r>
    </w:p>
    <w:p>
      <w:pPr>
        <w:pStyle w:val="Compact"/>
        <w:widowControl/>
        <w:numPr>
          <w:ilvl w:val="0"/>
          <w:numId w:val="1441"/>
        </w:numPr>
        <w:rPr/>
      </w:pPr>
      <w:r>
        <w:rPr/>
        <w:t>invite academic, engineering and market-structure review.</w:t>
      </w:r>
    </w:p>
    <w:p>
      <w:pPr>
        <w:pStyle w:val="Normal"/>
        <w:rPr/>
      </w:pPr>
      <w:bookmarkStart w:id="614" w:name="phase-0-constitutional-publication"/>
      <w:r>
        <w:rPr/>
        <w:t>Exit condition: all constitutional definitions have stable identifiers and unresolved questions are recorded publicly.</w:t>
      </w:r>
      <w:bookmarkEnd w:id="614"/>
    </w:p>
    <w:p>
      <w:pPr>
        <w:pStyle w:val="Heading2"/>
        <w:keepNext w:val="true"/>
        <w:keepLines/>
        <w:widowControl/>
        <w:rPr/>
      </w:pPr>
      <w:bookmarkStart w:id="615" w:name="__RefHeading___Toc8787_528838595"/>
      <w:bookmarkEnd w:id="615"/>
      <w:r>
        <w:rPr/>
        <w:t>36.2 Phase 1 — Data and adapter prototype (0–6 months)</w:t>
      </w:r>
    </w:p>
    <w:p>
      <w:pPr>
        <w:pStyle w:val="Normal"/>
        <w:rPr/>
      </w:pPr>
      <w:r>
        <w:rPr>
          <w:b/>
          <w:bCs/>
        </w:rPr>
        <w:t>Objective:</w:t>
      </w:r>
      <w:r>
        <w:rPr/>
        <w:t xml:space="preserve"> prove that the six-index model can be implemented reproducibly across materially different architectures.</w:t>
      </w:r>
    </w:p>
    <w:p>
      <w:pPr>
        <w:pStyle w:val="BodyText"/>
        <w:widowControl/>
        <w:rPr/>
      </w:pPr>
      <w:r>
        <w:rPr/>
        <w:t>Deliverables:</w:t>
      </w:r>
    </w:p>
    <w:p>
      <w:pPr>
        <w:pStyle w:val="Compact"/>
        <w:widowControl/>
        <w:numPr>
          <w:ilvl w:val="0"/>
          <w:numId w:val="1442"/>
        </w:numPr>
        <w:rPr/>
      </w:pPr>
      <w:r>
        <w:rPr/>
        <w:t>build adapters for at least three contrasting networks;</w:t>
      </w:r>
    </w:p>
    <w:p>
      <w:pPr>
        <w:pStyle w:val="Compact"/>
        <w:widowControl/>
        <w:numPr>
          <w:ilvl w:val="0"/>
          <w:numId w:val="1443"/>
        </w:numPr>
        <w:rPr/>
      </w:pPr>
      <w:r>
        <w:rPr/>
        <w:t>establish archival data and deterministic index pipelines;</w:t>
      </w:r>
    </w:p>
    <w:p>
      <w:pPr>
        <w:pStyle w:val="Compact"/>
        <w:widowControl/>
        <w:numPr>
          <w:ilvl w:val="0"/>
          <w:numId w:val="1444"/>
        </w:numPr>
        <w:rPr/>
      </w:pPr>
      <w:r>
        <w:rPr/>
        <w:t>implement initial PoV, OPI, DLI, PII, RWAI and ERI registries;</w:t>
      </w:r>
    </w:p>
    <w:p>
      <w:pPr>
        <w:pStyle w:val="Compact"/>
        <w:widowControl/>
        <w:numPr>
          <w:ilvl w:val="0"/>
          <w:numId w:val="1445"/>
        </w:numPr>
        <w:rPr/>
      </w:pPr>
      <w:r>
        <w:rPr/>
        <w:t>publish raw observations and calculation manifests;</w:t>
      </w:r>
    </w:p>
    <w:p>
      <w:pPr>
        <w:pStyle w:val="Compact"/>
        <w:widowControl/>
        <w:numPr>
          <w:ilvl w:val="0"/>
          <w:numId w:val="1446"/>
        </w:numPr>
        <w:rPr/>
      </w:pPr>
      <w:r>
        <w:rPr/>
        <w:t>create automated tests and adapter fixtures;</w:t>
      </w:r>
    </w:p>
    <w:p>
      <w:pPr>
        <w:pStyle w:val="Compact"/>
        <w:widowControl/>
        <w:numPr>
          <w:ilvl w:val="0"/>
          <w:numId w:val="1447"/>
        </w:numPr>
        <w:rPr/>
      </w:pPr>
      <w:r>
        <w:rPr/>
        <w:t>launch a research-only VoxUI prototype.</w:t>
      </w:r>
    </w:p>
    <w:p>
      <w:pPr>
        <w:pStyle w:val="Normal"/>
        <w:rPr/>
      </w:pPr>
      <w:bookmarkStart w:id="616" w:name="Xfd975625b8400f88ca1b091fcb729ba5bbc8826"/>
      <w:r>
        <w:rPr/>
        <w:t>Exit condition: independent operators reproduce the same test scores from the same snapshots.</w:t>
      </w:r>
      <w:bookmarkEnd w:id="616"/>
    </w:p>
    <w:p>
      <w:pPr>
        <w:pStyle w:val="Heading2"/>
        <w:keepNext w:val="true"/>
        <w:keepLines/>
        <w:widowControl/>
        <w:rPr/>
      </w:pPr>
      <w:bookmarkStart w:id="617" w:name="__RefHeading___Toc8789_528838595"/>
      <w:bookmarkEnd w:id="617"/>
      <w:r>
        <w:rPr/>
        <w:t>36.3 Phase 2 — Calibration and validation (6–12 months)</w:t>
      </w:r>
    </w:p>
    <w:p>
      <w:pPr>
        <w:pStyle w:val="Normal"/>
        <w:rPr/>
      </w:pPr>
      <w:r>
        <w:rPr>
          <w:b/>
          <w:bCs/>
        </w:rPr>
        <w:t>Objective:</w:t>
      </w:r>
      <w:r>
        <w:rPr/>
        <w:t xml:space="preserve"> calibrate benchmarks without overfitting and identify metric defects.</w:t>
      </w:r>
    </w:p>
    <w:p>
      <w:pPr>
        <w:pStyle w:val="BodyText"/>
        <w:widowControl/>
        <w:rPr/>
      </w:pPr>
      <w:r>
        <w:rPr/>
        <w:t>Deliverables:</w:t>
      </w:r>
    </w:p>
    <w:p>
      <w:pPr>
        <w:pStyle w:val="Compact"/>
        <w:widowControl/>
        <w:numPr>
          <w:ilvl w:val="0"/>
          <w:numId w:val="1448"/>
        </w:numPr>
        <w:rPr/>
      </w:pPr>
      <w:r>
        <w:rPr/>
        <w:t>extend the sample across proof-of-work, proof-of-stake, rollup and application-chain architectures;</w:t>
      </w:r>
    </w:p>
    <w:p>
      <w:pPr>
        <w:pStyle w:val="Compact"/>
        <w:widowControl/>
        <w:numPr>
          <w:ilvl w:val="0"/>
          <w:numId w:val="1449"/>
        </w:numPr>
        <w:rPr/>
      </w:pPr>
      <w:r>
        <w:rPr/>
        <w:t>conduct historical event studies;</w:t>
      </w:r>
    </w:p>
    <w:p>
      <w:pPr>
        <w:pStyle w:val="Compact"/>
        <w:widowControl/>
        <w:numPr>
          <w:ilvl w:val="0"/>
          <w:numId w:val="1450"/>
        </w:numPr>
        <w:rPr/>
      </w:pPr>
      <w:r>
        <w:rPr/>
        <w:t>perform correlation, redundancy and sensitivity analysis;</w:t>
      </w:r>
    </w:p>
    <w:p>
      <w:pPr>
        <w:pStyle w:val="Compact"/>
        <w:widowControl/>
        <w:numPr>
          <w:ilvl w:val="0"/>
          <w:numId w:val="1451"/>
        </w:numPr>
        <w:rPr/>
      </w:pPr>
      <w:r>
        <w:rPr/>
        <w:t>calibrate benchmark anchors and smoothing windows;</w:t>
      </w:r>
    </w:p>
    <w:p>
      <w:pPr>
        <w:pStyle w:val="Compact"/>
        <w:widowControl/>
        <w:numPr>
          <w:ilvl w:val="0"/>
          <w:numId w:val="1452"/>
        </w:numPr>
        <w:rPr/>
      </w:pPr>
      <w:r>
        <w:rPr/>
        <w:t>publish the first VCS methodology and confidence reports;</w:t>
      </w:r>
    </w:p>
    <w:p>
      <w:pPr>
        <w:pStyle w:val="Compact"/>
        <w:widowControl/>
        <w:numPr>
          <w:ilvl w:val="0"/>
          <w:numId w:val="1453"/>
        </w:numPr>
        <w:rPr/>
      </w:pPr>
      <w:r>
        <w:rPr/>
        <w:t>commission independent economic and data audits.</w:t>
      </w:r>
    </w:p>
    <w:p>
      <w:pPr>
        <w:pStyle w:val="Normal"/>
        <w:rPr/>
      </w:pPr>
      <w:bookmarkStart w:id="618" w:name="X5b0ec658aa8fd6ef78f890e1a7b48b7eccd3640"/>
      <w:r>
        <w:rPr/>
        <w:t>Exit condition: methodology version 3.1.0 produces stable, interpretable results across the validation set.</w:t>
      </w:r>
      <w:bookmarkEnd w:id="618"/>
    </w:p>
    <w:p>
      <w:pPr>
        <w:pStyle w:val="Heading2"/>
        <w:keepNext w:val="true"/>
        <w:keepLines/>
        <w:widowControl/>
        <w:rPr/>
      </w:pPr>
      <w:bookmarkStart w:id="619" w:name="__RefHeading___Toc8791_528838595"/>
      <w:bookmarkEnd w:id="619"/>
      <w:r>
        <w:rPr/>
        <w:t>36.4 Phase 3 — Public measurement network (12–18 months)</w:t>
      </w:r>
    </w:p>
    <w:p>
      <w:pPr>
        <w:pStyle w:val="Normal"/>
        <w:rPr/>
      </w:pPr>
      <w:r>
        <w:rPr>
          <w:b/>
          <w:bCs/>
        </w:rPr>
        <w:t>Objective:</w:t>
      </w:r>
      <w:r>
        <w:rPr/>
        <w:t xml:space="preserve"> operate Voxonomics as a public, continuously updated measurement standard.</w:t>
      </w:r>
    </w:p>
    <w:p>
      <w:pPr>
        <w:pStyle w:val="BodyText"/>
        <w:widowControl/>
        <w:rPr/>
      </w:pPr>
      <w:r>
        <w:rPr/>
        <w:t>Deliverables:</w:t>
      </w:r>
    </w:p>
    <w:p>
      <w:pPr>
        <w:pStyle w:val="Compact"/>
        <w:widowControl/>
        <w:numPr>
          <w:ilvl w:val="0"/>
          <w:numId w:val="1454"/>
        </w:numPr>
        <w:rPr/>
      </w:pPr>
      <w:r>
        <w:rPr/>
        <w:t>certify production adapters;</w:t>
      </w:r>
    </w:p>
    <w:p>
      <w:pPr>
        <w:pStyle w:val="Compact"/>
        <w:widowControl/>
        <w:numPr>
          <w:ilvl w:val="0"/>
          <w:numId w:val="1455"/>
        </w:numPr>
        <w:rPr/>
      </w:pPr>
      <w:r>
        <w:rPr/>
        <w:t>launch public API and bulk datasets;</w:t>
      </w:r>
    </w:p>
    <w:p>
      <w:pPr>
        <w:pStyle w:val="Compact"/>
        <w:widowControl/>
        <w:numPr>
          <w:ilvl w:val="0"/>
          <w:numId w:val="1456"/>
        </w:numPr>
        <w:rPr/>
      </w:pPr>
      <w:r>
        <w:rPr/>
        <w:t>publish ERU and official VTS histories;</w:t>
      </w:r>
    </w:p>
    <w:p>
      <w:pPr>
        <w:pStyle w:val="Compact"/>
        <w:widowControl/>
        <w:numPr>
          <w:ilvl w:val="0"/>
          <w:numId w:val="1457"/>
        </w:numPr>
        <w:rPr/>
      </w:pPr>
      <w:r>
        <w:rPr/>
        <w:t>add VRI, Opportunity Gap, VRS and VCS dashboards;</w:t>
      </w:r>
    </w:p>
    <w:p>
      <w:pPr>
        <w:pStyle w:val="Compact"/>
        <w:widowControl/>
        <w:numPr>
          <w:ilvl w:val="0"/>
          <w:numId w:val="1458"/>
        </w:numPr>
        <w:rPr/>
      </w:pPr>
      <w:r>
        <w:rPr/>
        <w:t>establish dispute resolution and correction workflows;</w:t>
      </w:r>
    </w:p>
    <w:p>
      <w:pPr>
        <w:pStyle w:val="Compact"/>
        <w:widowControl/>
        <w:numPr>
          <w:ilvl w:val="0"/>
          <w:numId w:val="1459"/>
        </w:numPr>
        <w:rPr/>
      </w:pPr>
      <w:r>
        <w:rPr/>
        <w:t>publish quarterly methodology and system reports.</w:t>
      </w:r>
    </w:p>
    <w:p>
      <w:pPr>
        <w:pStyle w:val="Normal"/>
        <w:rPr/>
      </w:pPr>
      <w:bookmarkStart w:id="620" w:name="X4ccaa52c76c9f989b62979e1ca23eb1edf21bd2"/>
      <w:r>
        <w:rPr/>
        <w:t>Exit condition: official results meet coverage, confidence, reproducibility and governance requirements.</w:t>
      </w:r>
      <w:bookmarkEnd w:id="620"/>
    </w:p>
    <w:p>
      <w:pPr>
        <w:pStyle w:val="Heading2"/>
        <w:keepNext w:val="true"/>
        <w:keepLines/>
        <w:widowControl/>
        <w:rPr/>
      </w:pPr>
      <w:bookmarkStart w:id="621" w:name="__RefHeading___Toc8793_528838595"/>
      <w:bookmarkEnd w:id="621"/>
      <w:r>
        <w:rPr/>
        <w:t>36.5 Phase 4 — DAO genesis (18–24 months)</w:t>
      </w:r>
    </w:p>
    <w:p>
      <w:pPr>
        <w:pStyle w:val="Normal"/>
        <w:rPr/>
      </w:pPr>
      <w:r>
        <w:rPr>
          <w:b/>
          <w:bCs/>
        </w:rPr>
        <w:t>Objective:</w:t>
      </w:r>
      <w:r>
        <w:rPr/>
        <w:t xml:space="preserve"> transfer standard-setting and treasury functions to decentralised governance.</w:t>
      </w:r>
    </w:p>
    <w:p>
      <w:pPr>
        <w:pStyle w:val="BodyText"/>
        <w:widowControl/>
        <w:rPr/>
      </w:pPr>
      <w:r>
        <w:rPr/>
        <w:t>Deliverables:</w:t>
      </w:r>
    </w:p>
    <w:p>
      <w:pPr>
        <w:pStyle w:val="Compact"/>
        <w:widowControl/>
        <w:numPr>
          <w:ilvl w:val="0"/>
          <w:numId w:val="1460"/>
        </w:numPr>
        <w:rPr/>
      </w:pPr>
      <w:r>
        <w:rPr/>
        <w:t>deploy governance contracts and timelocks;</w:t>
      </w:r>
    </w:p>
    <w:p>
      <w:pPr>
        <w:pStyle w:val="Compact"/>
        <w:widowControl/>
        <w:numPr>
          <w:ilvl w:val="0"/>
          <w:numId w:val="1461"/>
        </w:numPr>
        <w:rPr/>
      </w:pPr>
      <w:r>
        <w:rPr/>
        <w:t>elect or form technical and audit bodies;</w:t>
      </w:r>
    </w:p>
    <w:p>
      <w:pPr>
        <w:pStyle w:val="Compact"/>
        <w:widowControl/>
        <w:numPr>
          <w:ilvl w:val="0"/>
          <w:numId w:val="1462"/>
        </w:numPr>
        <w:rPr/>
      </w:pPr>
      <w:r>
        <w:rPr/>
        <w:t>fund open-source adapters and research;</w:t>
      </w:r>
    </w:p>
    <w:p>
      <w:pPr>
        <w:pStyle w:val="Compact"/>
        <w:widowControl/>
        <w:numPr>
          <w:ilvl w:val="0"/>
          <w:numId w:val="1463"/>
        </w:numPr>
        <w:rPr/>
      </w:pPr>
      <w:r>
        <w:rPr/>
        <w:t>activate conflict disclosure and delegate reporting;</w:t>
      </w:r>
    </w:p>
    <w:p>
      <w:pPr>
        <w:pStyle w:val="Compact"/>
        <w:widowControl/>
        <w:numPr>
          <w:ilvl w:val="0"/>
          <w:numId w:val="1464"/>
        </w:numPr>
        <w:rPr/>
      </w:pPr>
      <w:r>
        <w:rPr/>
        <w:t>test emergency and version-upgrade procedures;</w:t>
      </w:r>
    </w:p>
    <w:p>
      <w:pPr>
        <w:pStyle w:val="Compact"/>
        <w:widowControl/>
        <w:numPr>
          <w:ilvl w:val="0"/>
          <w:numId w:val="1465"/>
        </w:numPr>
        <w:rPr/>
      </w:pPr>
      <w:r>
        <w:rPr/>
        <w:t>preserve an independent reproducible fallback of the last valid standard.</w:t>
      </w:r>
    </w:p>
    <w:p>
      <w:pPr>
        <w:pStyle w:val="Normal"/>
        <w:rPr/>
      </w:pPr>
      <w:bookmarkStart w:id="622" w:name="phase-4-dao-genesis-1824-months"/>
      <w:r>
        <w:rPr/>
        <w:t>Exit condition: governance executes at least one complete non-critical versioned update successfully.</w:t>
      </w:r>
      <w:bookmarkEnd w:id="622"/>
    </w:p>
    <w:p>
      <w:pPr>
        <w:pStyle w:val="Heading2"/>
        <w:keepNext w:val="true"/>
        <w:keepLines/>
        <w:widowControl/>
        <w:rPr/>
      </w:pPr>
      <w:bookmarkStart w:id="623" w:name="__RefHeading___Toc8795_528838595"/>
      <w:bookmarkEnd w:id="623"/>
      <w:r>
        <w:rPr/>
        <w:t>36.6 Phase 5 — Index V-FOREX (24–30 months)</w:t>
      </w:r>
    </w:p>
    <w:p>
      <w:pPr>
        <w:pStyle w:val="Normal"/>
        <w:rPr/>
      </w:pPr>
      <w:r>
        <w:rPr>
          <w:b/>
          <w:bCs/>
        </w:rPr>
        <w:t>Objective:</w:t>
      </w:r>
      <w:r>
        <w:rPr/>
        <w:t xml:space="preserve"> launch non-tokenised VTS pair references.</w:t>
      </w:r>
    </w:p>
    <w:p>
      <w:pPr>
        <w:pStyle w:val="BodyText"/>
        <w:widowControl/>
        <w:rPr/>
      </w:pPr>
      <w:r>
        <w:rPr/>
        <w:t>Deliverables:</w:t>
      </w:r>
    </w:p>
    <w:p>
      <w:pPr>
        <w:pStyle w:val="Compact"/>
        <w:widowControl/>
        <w:numPr>
          <w:ilvl w:val="0"/>
          <w:numId w:val="1466"/>
        </w:numPr>
        <w:rPr/>
      </w:pPr>
      <w:r>
        <w:rPr/>
        <w:t>publish all eligible VTS/VTS reference pairs;</w:t>
      </w:r>
    </w:p>
    <w:p>
      <w:pPr>
        <w:pStyle w:val="Compact"/>
        <w:widowControl/>
        <w:numPr>
          <w:ilvl w:val="0"/>
          <w:numId w:val="1467"/>
        </w:numPr>
        <w:rPr/>
      </w:pPr>
      <w:r>
        <w:rPr/>
        <w:t>create historical pair charts and benchmark indices;</w:t>
      </w:r>
    </w:p>
    <w:p>
      <w:pPr>
        <w:pStyle w:val="Compact"/>
        <w:widowControl/>
        <w:numPr>
          <w:ilvl w:val="0"/>
          <w:numId w:val="1468"/>
        </w:numPr>
        <w:rPr/>
      </w:pPr>
      <w:r>
        <w:rPr/>
        <w:t>test stale-rate, dispute and suspension rules;</w:t>
      </w:r>
    </w:p>
    <w:p>
      <w:pPr>
        <w:pStyle w:val="Compact"/>
        <w:widowControl/>
        <w:numPr>
          <w:ilvl w:val="0"/>
          <w:numId w:val="1469"/>
        </w:numPr>
        <w:rPr/>
      </w:pPr>
      <w:r>
        <w:rPr/>
        <w:t>support research integrations and simulated portfolios;</w:t>
      </w:r>
    </w:p>
    <w:p>
      <w:pPr>
        <w:pStyle w:val="Compact"/>
        <w:widowControl/>
        <w:numPr>
          <w:ilvl w:val="0"/>
          <w:numId w:val="1470"/>
        </w:numPr>
        <w:rPr/>
      </w:pPr>
      <w:r>
        <w:rPr/>
        <w:t>conduct manipulation and economic-incentive analysis.</w:t>
      </w:r>
    </w:p>
    <w:p>
      <w:pPr>
        <w:pStyle w:val="Normal"/>
        <w:rPr/>
      </w:pPr>
      <w:bookmarkStart w:id="624" w:name="phase-5-index-v-forex-2430-months"/>
      <w:r>
        <w:rPr/>
        <w:t>Exit condition: reference rates operate reliably without dependency on a tradable VOX asset.</w:t>
      </w:r>
      <w:bookmarkEnd w:id="624"/>
    </w:p>
    <w:p>
      <w:pPr>
        <w:pStyle w:val="Heading2"/>
        <w:keepNext w:val="true"/>
        <w:keepLines/>
        <w:widowControl/>
        <w:rPr/>
      </w:pPr>
      <w:bookmarkStart w:id="625" w:name="__RefHeading___Toc8797_528838595"/>
      <w:bookmarkEnd w:id="625"/>
      <w:r>
        <w:rPr/>
        <w:t>36.7 Phase 6 — Optional VOX sandbox (30–42 months)</w:t>
      </w:r>
    </w:p>
    <w:p>
      <w:pPr>
        <w:pStyle w:val="Normal"/>
        <w:rPr/>
      </w:pPr>
      <w:r>
        <w:rPr>
          <w:b/>
          <w:bCs/>
        </w:rPr>
        <w:t>Objective:</w:t>
      </w:r>
      <w:r>
        <w:rPr/>
        <w:t xml:space="preserve"> evaluate tokenised VOX in a controlled environment.</w:t>
      </w:r>
    </w:p>
    <w:p>
      <w:pPr>
        <w:pStyle w:val="BodyText"/>
        <w:widowControl/>
        <w:rPr/>
      </w:pPr>
      <w:r>
        <w:rPr/>
        <w:t>Deliverables:</w:t>
      </w:r>
    </w:p>
    <w:p>
      <w:pPr>
        <w:pStyle w:val="Compact"/>
        <w:widowControl/>
        <w:numPr>
          <w:ilvl w:val="0"/>
          <w:numId w:val="1471"/>
        </w:numPr>
        <w:rPr/>
      </w:pPr>
      <w:r>
        <w:rPr/>
        <w:t>formalise indexed-balance supply contracts;</w:t>
      </w:r>
    </w:p>
    <w:p>
      <w:pPr>
        <w:pStyle w:val="Compact"/>
        <w:widowControl/>
        <w:numPr>
          <w:ilvl w:val="0"/>
          <w:numId w:val="1472"/>
        </w:numPr>
        <w:rPr/>
      </w:pPr>
      <w:r>
        <w:rPr/>
        <w:t>complete independent code, economic and legal audits;</w:t>
      </w:r>
    </w:p>
    <w:p>
      <w:pPr>
        <w:pStyle w:val="Compact"/>
        <w:widowControl/>
        <w:numPr>
          <w:ilvl w:val="0"/>
          <w:numId w:val="1473"/>
        </w:numPr>
        <w:rPr/>
      </w:pPr>
      <w:r>
        <w:rPr/>
        <w:t>run closed and public test networks;</w:t>
      </w:r>
    </w:p>
    <w:p>
      <w:pPr>
        <w:pStyle w:val="Compact"/>
        <w:widowControl/>
        <w:numPr>
          <w:ilvl w:val="0"/>
          <w:numId w:val="1474"/>
        </w:numPr>
        <w:rPr/>
      </w:pPr>
      <w:r>
        <w:rPr/>
        <w:t>simulate contraction, bridge, exchange and collateral scenarios;</w:t>
      </w:r>
    </w:p>
    <w:p>
      <w:pPr>
        <w:pStyle w:val="Compact"/>
        <w:widowControl/>
        <w:numPr>
          <w:ilvl w:val="0"/>
          <w:numId w:val="1475"/>
        </w:numPr>
        <w:rPr/>
      </w:pPr>
      <w:r>
        <w:rPr/>
        <w:t>define activation and safe-mode thresholds;</w:t>
      </w:r>
    </w:p>
    <w:p>
      <w:pPr>
        <w:pStyle w:val="Compact"/>
        <w:widowControl/>
        <w:numPr>
          <w:ilvl w:val="0"/>
          <w:numId w:val="1476"/>
        </w:numPr>
        <w:rPr/>
      </w:pPr>
      <w:r>
        <w:rPr/>
        <w:t>publish token distribution and governance design.</w:t>
      </w:r>
    </w:p>
    <w:p>
      <w:pPr>
        <w:pStyle w:val="Normal"/>
        <w:rPr/>
      </w:pPr>
      <w:bookmarkStart w:id="626" w:name="phase-6-optional-vox-sandbox-3042-months"/>
      <w:r>
        <w:rPr/>
        <w:t>Exit condition: no production activation until all constitutional thresholds and audits are satisfied.</w:t>
      </w:r>
      <w:bookmarkEnd w:id="626"/>
    </w:p>
    <w:p>
      <w:pPr>
        <w:pStyle w:val="Heading2"/>
        <w:keepNext w:val="true"/>
        <w:keepLines/>
        <w:widowControl/>
        <w:rPr/>
      </w:pPr>
      <w:bookmarkStart w:id="627" w:name="__RefHeading___Toc8799_528838595"/>
      <w:bookmarkEnd w:id="627"/>
      <w:r>
        <w:rPr/>
        <w:t>36.8 Phase 7 — Limited production activation (42–60 months)</w:t>
      </w:r>
    </w:p>
    <w:p>
      <w:pPr>
        <w:pStyle w:val="Normal"/>
        <w:rPr/>
      </w:pPr>
      <w:r>
        <w:rPr>
          <w:b/>
          <w:bCs/>
        </w:rPr>
        <w:t>Objective:</w:t>
      </w:r>
      <w:r>
        <w:rPr/>
        <w:t xml:space="preserve"> activate optional economic components gradually where justified.</w:t>
      </w:r>
    </w:p>
    <w:p>
      <w:pPr>
        <w:pStyle w:val="BodyText"/>
        <w:widowControl/>
        <w:rPr/>
      </w:pPr>
      <w:r>
        <w:rPr/>
        <w:t>Deliverables:</w:t>
      </w:r>
    </w:p>
    <w:p>
      <w:pPr>
        <w:pStyle w:val="Compact"/>
        <w:widowControl/>
        <w:numPr>
          <w:ilvl w:val="0"/>
          <w:numId w:val="1477"/>
        </w:numPr>
        <w:rPr/>
      </w:pPr>
      <w:r>
        <w:rPr/>
        <w:t>start with a small number of high-confidence networks;</w:t>
      </w:r>
    </w:p>
    <w:p>
      <w:pPr>
        <w:pStyle w:val="Compact"/>
        <w:widowControl/>
        <w:numPr>
          <w:ilvl w:val="0"/>
          <w:numId w:val="1478"/>
        </w:numPr>
        <w:rPr/>
      </w:pPr>
      <w:r>
        <w:rPr/>
        <w:t>apply issuance and market exposure caps;</w:t>
      </w:r>
    </w:p>
    <w:p>
      <w:pPr>
        <w:pStyle w:val="Compact"/>
        <w:widowControl/>
        <w:numPr>
          <w:ilvl w:val="0"/>
          <w:numId w:val="1479"/>
        </w:numPr>
        <w:rPr/>
      </w:pPr>
      <w:r>
        <w:rPr/>
        <w:t>establish transparent liquidity and market surveillance;</w:t>
      </w:r>
    </w:p>
    <w:p>
      <w:pPr>
        <w:pStyle w:val="Compact"/>
        <w:widowControl/>
        <w:numPr>
          <w:ilvl w:val="0"/>
          <w:numId w:val="1480"/>
        </w:numPr>
        <w:rPr/>
      </w:pPr>
      <w:r>
        <w:rPr/>
        <w:t>prohibit broad collateral use during the initial period;</w:t>
      </w:r>
    </w:p>
    <w:p>
      <w:pPr>
        <w:pStyle w:val="Compact"/>
        <w:widowControl/>
        <w:numPr>
          <w:ilvl w:val="0"/>
          <w:numId w:val="1481"/>
        </w:numPr>
        <w:rPr/>
      </w:pPr>
      <w:r>
        <w:rPr/>
        <w:t>publish continuous risk, concentration and manipulation reports;</w:t>
      </w:r>
    </w:p>
    <w:p>
      <w:pPr>
        <w:pStyle w:val="Compact"/>
        <w:widowControl/>
        <w:numPr>
          <w:ilvl w:val="0"/>
          <w:numId w:val="1482"/>
        </w:numPr>
        <w:rPr/>
      </w:pPr>
      <w:r>
        <w:rPr/>
        <w:t>retain governance-controlled rollback to measurement-only mode.</w:t>
      </w:r>
    </w:p>
    <w:p>
      <w:pPr>
        <w:pStyle w:val="Normal"/>
        <w:rPr/>
      </w:pPr>
      <w:bookmarkStart w:id="628" w:name="Xa7675d5a2875766ce47a320d90296b5bf86c6d6"/>
      <w:r>
        <w:rPr/>
        <w:t>Exit condition: sustained safe operation under normal and stress conditions.</w:t>
      </w:r>
      <w:bookmarkEnd w:id="628"/>
    </w:p>
    <w:p>
      <w:pPr>
        <w:pStyle w:val="Heading2"/>
        <w:keepNext w:val="true"/>
        <w:keepLines/>
        <w:widowControl/>
        <w:rPr/>
      </w:pPr>
      <w:bookmarkStart w:id="629" w:name="__RefHeading___Toc8801_528838595"/>
      <w:bookmarkEnd w:id="629"/>
      <w:r>
        <w:rPr/>
        <w:t>36.9 Phase 8 — Global standard and optional coordination chain</w:t>
      </w:r>
    </w:p>
    <w:p>
      <w:pPr>
        <w:pStyle w:val="Normal"/>
        <w:rPr/>
      </w:pPr>
      <w:r>
        <w:rPr/>
        <w:t>A dedicated coordination chain may later host governance, signed snapshots, adapter registries, disputes and cross-chain clearing. It is optional. The framework must not depend on a new chain merely to remain measurable or open.</w:t>
      </w:r>
    </w:p>
    <w:p>
      <w:pPr>
        <w:pStyle w:val="BodyText"/>
        <w:widowControl/>
        <w:rPr/>
      </w:pPr>
      <w:r>
        <w:rPr/>
        <w:t>Long-term extensions may include:</w:t>
      </w:r>
    </w:p>
    <w:p>
      <w:pPr>
        <w:pStyle w:val="Compact"/>
        <w:widowControl/>
        <w:numPr>
          <w:ilvl w:val="0"/>
          <w:numId w:val="1483"/>
        </w:numPr>
        <w:rPr/>
      </w:pPr>
      <w:r>
        <w:rPr/>
        <w:t>VTS-indexed research products;</w:t>
      </w:r>
    </w:p>
    <w:p>
      <w:pPr>
        <w:pStyle w:val="Compact"/>
        <w:widowControl/>
        <w:numPr>
          <w:ilvl w:val="0"/>
          <w:numId w:val="1484"/>
        </w:numPr>
        <w:rPr/>
      </w:pPr>
      <w:r>
        <w:rPr/>
        <w:t>network economic accounts;</w:t>
      </w:r>
    </w:p>
    <w:p>
      <w:pPr>
        <w:pStyle w:val="Compact"/>
        <w:widowControl/>
        <w:numPr>
          <w:ilvl w:val="0"/>
          <w:numId w:val="1485"/>
        </w:numPr>
        <w:rPr/>
      </w:pPr>
      <w:r>
        <w:rPr/>
        <w:t>risk-adjusted lending limits;</w:t>
      </w:r>
    </w:p>
    <w:p>
      <w:pPr>
        <w:pStyle w:val="Compact"/>
        <w:widowControl/>
        <w:numPr>
          <w:ilvl w:val="0"/>
          <w:numId w:val="1486"/>
        </w:numPr>
        <w:rPr/>
      </w:pPr>
      <w:r>
        <w:rPr/>
        <w:t>public-sector and institutional data integrations;</w:t>
      </w:r>
    </w:p>
    <w:p>
      <w:pPr>
        <w:pStyle w:val="Compact"/>
        <w:widowControl/>
        <w:numPr>
          <w:ilvl w:val="0"/>
          <w:numId w:val="1487"/>
        </w:numPr>
        <w:rPr/>
      </w:pPr>
      <w:r>
        <w:rPr/>
        <w:t>automated cross-chain settlement;</w:t>
      </w:r>
    </w:p>
    <w:p>
      <w:pPr>
        <w:pStyle w:val="Compact"/>
        <w:widowControl/>
        <w:numPr>
          <w:ilvl w:val="0"/>
          <w:numId w:val="1488"/>
        </w:numPr>
        <w:rPr/>
      </w:pPr>
      <w:r>
        <w:rPr/>
        <w:t>network economic stress testing;</w:t>
      </w:r>
    </w:p>
    <w:p>
      <w:pPr>
        <w:pStyle w:val="Compact"/>
        <w:widowControl/>
        <w:numPr>
          <w:ilvl w:val="0"/>
          <w:numId w:val="1489"/>
        </w:numPr>
        <w:rPr/>
      </w:pPr>
      <w:bookmarkStart w:id="630" w:name="Xb49a3157893f48cd8cfd7e6107a15bcdc8b1824"/>
      <w:bookmarkStart w:id="631" w:name="roadmap"/>
      <w:r>
        <w:rPr/>
        <w:t>open academic datasets and annual standards review.</w:t>
      </w:r>
      <w:bookmarkEnd w:id="630"/>
      <w:bookmarkEnd w:id="631"/>
    </w:p>
    <w:p>
      <w:pPr>
        <w:pStyle w:val="PartTitle"/>
        <w:rPr/>
      </w:pPr>
      <w:bookmarkStart w:id="632" w:name="__RefHeading___Toc9863_2989533693"/>
      <w:bookmarkEnd w:id="632"/>
      <w:r>
        <w:rPr/>
        <w:t>Part IX — Evidence Infrastructure and Distributed Nodes</w:t>
      </w:r>
    </w:p>
    <w:p>
      <w:pPr>
        <w:pStyle w:val="Heading1"/>
        <w:rPr/>
      </w:pPr>
      <w:bookmarkStart w:id="633" w:name="__RefHeading___Toc9865_2989533693"/>
      <w:bookmarkEnd w:id="633"/>
      <w:r>
        <w:rPr/>
        <w:t>37. Canonical Evidence Architecture</w:t>
      </w:r>
    </w:p>
    <w:p>
      <w:pPr>
        <w:pStyle w:val="Heading2"/>
        <w:rPr/>
      </w:pPr>
      <w:r>
        <w:rPr/>
        <w:t>37.1 Purpose and constitutional relation</w:t>
      </w:r>
    </w:p>
    <w:p>
      <w:pPr>
        <w:pStyle w:val="Normal"/>
        <w:rPr/>
      </w:pPr>
      <w:r>
        <w:rPr/>
        <w:t>Edition 3.1 established verifiability as a constitutional rule. Edition 3.2 defines the evidence architecture required to enforce that rule operationally. The purpose is not to create a second measurement methodology; it is to ensure that every canonical value can be traced, reproduced, challenged and preserved without relying on an opaque database or a single operator.</w:t>
      </w:r>
    </w:p>
    <w:p>
      <w:pPr>
        <w:pStyle w:val="BodyText"/>
        <w:rPr/>
      </w:pPr>
      <w:r>
        <w:rPr/>
        <w:t>The governing rule is simple: every published Voxonomics value must be provable back to authoritative source evidence. The required source may be a public blockchain or an authoritative external dataset, depending on the canonical metric definition. The provenance standard must identify which case applies.</w:t>
      </w:r>
    </w:p>
    <w:p>
      <w:pPr>
        <w:pStyle w:val="Heading2"/>
        <w:rPr/>
      </w:pPr>
      <w:r>
        <w:rPr/>
        <w:t>37.2 Canonical evidence chain</w:t>
      </w:r>
    </w:p>
    <w:p>
      <w:pPr>
        <w:pStyle w:val="Normal"/>
        <w:rPr/>
      </w:pPr>
      <w:r>
        <w:rPr/>
        <w:t>For blockchain-derived measurements, the complete audit path is:</w:t>
      </w:r>
    </w:p>
    <w:p>
      <w:pPr>
        <w:pStyle w:val="SourceCode"/>
        <w:rPr/>
      </w:pPr>
      <w:r>
        <w:rPr/>
        <w:t>published output → parent index → submetric → canonical measurement → observation → preserved evidence package → block/slot/transaction/log/account-state coordinate → network/source/query/endpoint → retrieval and provenance</w:t>
      </w:r>
    </w:p>
    <w:p>
      <w:pPr>
        <w:pStyle w:val="BodyText"/>
        <w:rPr/>
      </w:pPr>
      <w:r>
        <w:rPr/>
        <w:t>The production path runs in the opposite direction. A value presented by VoxUI, a public API, a signed manifest or a research export is therefore a view over an evidence chain, not the end of that chain.</w:t>
      </w:r>
    </w:p>
    <w:p>
      <w:pPr>
        <w:pStyle w:val="Heading2"/>
        <w:rPr/>
      </w:pPr>
      <w:r>
        <w:rPr/>
        <w:t>37.3 Blockchain-derived evidence</w:t>
      </w:r>
    </w:p>
    <w:p>
      <w:pPr>
        <w:pStyle w:val="Normal"/>
        <w:rPr/>
      </w:pPr>
      <w:r>
        <w:rPr/>
        <w:t>Blockchain-derived evidence must identify the network and the finest authoritative coordinate reasonably required by the metric: for example a block, slot, transaction, receipt, event log, account-state snapshot, consensus record, governance event or deterministic range. Evidence packages must preserve enough source material and context to reproduce the canonical observation under the declared adapter and methodology version.</w:t>
      </w:r>
    </w:p>
    <w:p>
      <w:pPr>
        <w:pStyle w:val="BodyText"/>
        <w:rPr/>
      </w:pPr>
      <w:r>
        <w:rPr/>
        <w:t>A provider response is not automatically equivalent to primary chain evidence. Where a provider supplies derived or indexed data, provenance must state the upstream basis and whether the result can be deterministically checked against chain state. Source quality and independence continue to affect VCS under the existing framework.</w:t>
      </w:r>
    </w:p>
    <w:p>
      <w:pPr>
        <w:pStyle w:val="Heading2"/>
        <w:rPr/>
      </w:pPr>
      <w:r>
        <w:rPr/>
        <w:t>37.4 Authoritative external evidence</w:t>
      </w:r>
    </w:p>
    <w:p>
      <w:pPr>
        <w:pStyle w:val="Normal"/>
        <w:rPr/>
      </w:pPr>
      <w:r>
        <w:rPr/>
        <w:t>Some canonical inputs, particularly within real-world adoption, security, legal, institutional or macroeconomic contexts, may rely on authoritative external evidence. Edition 3.2 does not pretend those facts are on-chain. Instead, the same audit discipline applies: the preserved package identifies the authoritative source, source range or record, retrieval time, query or acquisition method, source version, transformation and provenance.</w:t>
      </w:r>
    </w:p>
    <w:p>
      <w:pPr>
        <w:pStyle w:val="BodyText"/>
        <w:rPr/>
      </w:pPr>
      <w:r>
        <w:rPr/>
        <w:t>The requirement is authoritative traceability, not artificial on-chain placement. Publishing a hash of an external document on-chain may timestamp a commitment, but it does not transform that document into on-chain source evidence and does not remove the requirement to preserve or lawfully reacquire the underlying material.</w:t>
      </w:r>
    </w:p>
    <w:p>
      <w:pPr>
        <w:pStyle w:val="Heading2"/>
        <w:rPr/>
      </w:pPr>
      <w:r>
        <w:rPr/>
        <w:t>37.5 Logical and physical storage</w:t>
      </w:r>
    </w:p>
    <w:p>
      <w:pPr>
        <w:pStyle w:val="Normal"/>
        <w:rPr/>
      </w:pPr>
      <w:r>
        <w:rPr/>
        <w:t>Canonical evidence is a logical object. Its physical representation may change for efficiency—for example from active files into compressed sealed parts, packs, indexed objects or content-addressed storage—provided the representation remains readable through a documented access/decoder boundary and preserves semantic equivalence.</w:t>
      </w:r>
    </w:p>
    <w:p>
      <w:pPr>
        <w:pStyle w:val="Heading2"/>
        <w:rPr/>
      </w:pPr>
      <w:r>
        <w:rPr/>
        <w:t>37.6 Semantic equivalence</w:t>
      </w:r>
    </w:p>
    <w:p>
      <w:pPr>
        <w:pStyle w:val="Normal"/>
        <w:rPr/>
      </w:pPr>
      <w:r>
        <w:rPr/>
        <w:t>A replacement representation is semantically equivalent only when it preserves the fields and relationships required by the canonical method, including identifiers, addresses, inclusion or exclusion state, values, meaningful ordering, collection semantics, calculation inputs and provenance. Successful decompression alone is not proof of semantic equivalence.</w:t>
      </w:r>
    </w:p>
    <w:p>
      <w:pPr>
        <w:pStyle w:val="Heading1"/>
        <w:rPr/>
      </w:pPr>
      <w:bookmarkStart w:id="634" w:name="__RefHeading___Toc9867_2989533693"/>
      <w:bookmarkEnd w:id="634"/>
      <w:r>
        <w:rPr/>
        <w:t>38. Evidence Lifecycle and Retirement Governance</w:t>
      </w:r>
    </w:p>
    <w:p>
      <w:pPr>
        <w:pStyle w:val="Heading2"/>
        <w:rPr/>
      </w:pPr>
      <w:r>
        <w:rPr/>
        <w:t>38.1 Storage and evidence states</w:t>
      </w:r>
    </w:p>
    <w:p>
      <w:pPr>
        <w:pStyle w:val="Normal"/>
        <w:rPr/>
      </w:pPr>
      <w:r>
        <w:rPr/>
        <w:t>Edition 3.2 distinguishes analytical use from preservation. A datum may leave the live analytical window while remaining necessary for historical reproduction, dispute resolution or certification. The following states describe purpose, not merely age or directory location:</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State</w:t>
            </w:r>
          </w:p>
        </w:tc>
        <w:tc>
          <w:tcPr>
            <w:tcW w:w="4818" w:type="dxa"/>
            <w:tcBorders/>
          </w:tcPr>
          <w:p>
            <w:pPr>
              <w:pStyle w:val="Normal"/>
              <w:widowControl/>
              <w:suppressAutoHyphens w:val="true"/>
              <w:bidi w:val="0"/>
              <w:spacing w:lineRule="auto" w:line="276" w:before="0" w:after="120"/>
              <w:jc w:val="left"/>
              <w:rPr/>
            </w:pPr>
            <w:r>
              <w:rPr>
                <w:b/>
              </w:rPr>
              <w:t>Meaning</w:t>
            </w:r>
          </w:p>
        </w:tc>
      </w:tr>
      <w:tr>
        <w:trPr/>
        <w:tc>
          <w:tcPr>
            <w:tcW w:w="4819" w:type="dxa"/>
            <w:tcBorders/>
          </w:tcPr>
          <w:p>
            <w:pPr>
              <w:pStyle w:val="Normal"/>
              <w:widowControl/>
              <w:suppressAutoHyphens w:val="true"/>
              <w:bidi w:val="0"/>
              <w:spacing w:lineRule="auto" w:line="276" w:before="0" w:after="120"/>
              <w:jc w:val="left"/>
              <w:rPr/>
            </w:pPr>
            <w:r>
              <w:rPr/>
              <w:t>Active analytical material</w:t>
            </w:r>
          </w:p>
        </w:tc>
        <w:tc>
          <w:tcPr>
            <w:tcW w:w="4818" w:type="dxa"/>
            <w:tcBorders/>
          </w:tcPr>
          <w:p>
            <w:pPr>
              <w:pStyle w:val="Normal"/>
              <w:widowControl/>
              <w:suppressAutoHyphens w:val="true"/>
              <w:bidi w:val="0"/>
              <w:spacing w:lineRule="auto" w:line="276" w:before="0" w:after="120"/>
              <w:jc w:val="left"/>
              <w:rPr/>
            </w:pPr>
            <w:r>
              <w:rPr/>
              <w:t>Evidence and derived state currently required by the live measurement window</w:t>
            </w:r>
          </w:p>
        </w:tc>
      </w:tr>
      <w:tr>
        <w:trPr/>
        <w:tc>
          <w:tcPr>
            <w:tcW w:w="4819" w:type="dxa"/>
            <w:tcBorders/>
          </w:tcPr>
          <w:p>
            <w:pPr>
              <w:pStyle w:val="Normal"/>
              <w:widowControl/>
              <w:suppressAutoHyphens w:val="true"/>
              <w:bidi w:val="0"/>
              <w:spacing w:lineRule="auto" w:line="276" w:before="0" w:after="120"/>
              <w:jc w:val="left"/>
              <w:rPr/>
            </w:pPr>
            <w:r>
              <w:rPr/>
              <w:t>Live operational material</w:t>
            </w:r>
          </w:p>
        </w:tc>
        <w:tc>
          <w:tcPr>
            <w:tcW w:w="4818" w:type="dxa"/>
            <w:tcBorders/>
          </w:tcPr>
          <w:p>
            <w:pPr>
              <w:pStyle w:val="Normal"/>
              <w:widowControl/>
              <w:suppressAutoHyphens w:val="true"/>
              <w:bidi w:val="0"/>
              <w:spacing w:lineRule="auto" w:line="276" w:before="0" w:after="120"/>
              <w:jc w:val="left"/>
              <w:rPr/>
            </w:pPr>
            <w:r>
              <w:rPr/>
              <w:t>Collector journals, queues, caches and working representations needed for safe operation</w:t>
            </w:r>
          </w:p>
        </w:tc>
      </w:tr>
      <w:tr>
        <w:trPr/>
        <w:tc>
          <w:tcPr>
            <w:tcW w:w="4819" w:type="dxa"/>
            <w:tcBorders/>
          </w:tcPr>
          <w:p>
            <w:pPr>
              <w:pStyle w:val="Normal"/>
              <w:widowControl/>
              <w:suppressAutoHyphens w:val="true"/>
              <w:bidi w:val="0"/>
              <w:spacing w:lineRule="auto" w:line="276" w:before="0" w:after="120"/>
              <w:jc w:val="left"/>
              <w:rPr/>
            </w:pPr>
            <w:r>
              <w:rPr/>
              <w:t>Preserved source evidence</w:t>
            </w:r>
          </w:p>
        </w:tc>
        <w:tc>
          <w:tcPr>
            <w:tcW w:w="4818" w:type="dxa"/>
            <w:tcBorders/>
          </w:tcPr>
          <w:p>
            <w:pPr>
              <w:pStyle w:val="Normal"/>
              <w:widowControl/>
              <w:suppressAutoHyphens w:val="true"/>
              <w:bidi w:val="0"/>
              <w:spacing w:lineRule="auto" w:line="276" w:before="0" w:after="120"/>
              <w:jc w:val="left"/>
              <w:rPr/>
            </w:pPr>
            <w:r>
              <w:rPr/>
              <w:t>Authoritative evidence retained for reproduction, verification, audit or historical continuity</w:t>
            </w:r>
          </w:p>
        </w:tc>
      </w:tr>
      <w:tr>
        <w:trPr/>
        <w:tc>
          <w:tcPr>
            <w:tcW w:w="4819" w:type="dxa"/>
            <w:tcBorders/>
          </w:tcPr>
          <w:p>
            <w:pPr>
              <w:pStyle w:val="Normal"/>
              <w:widowControl/>
              <w:suppressAutoHyphens w:val="true"/>
              <w:bidi w:val="0"/>
              <w:spacing w:lineRule="auto" w:line="276" w:before="0" w:after="120"/>
              <w:jc w:val="left"/>
              <w:rPr/>
            </w:pPr>
            <w:r>
              <w:rPr/>
              <w:t>Sealed historical evidence</w:t>
            </w:r>
          </w:p>
        </w:tc>
        <w:tc>
          <w:tcPr>
            <w:tcW w:w="4818" w:type="dxa"/>
            <w:tcBorders/>
          </w:tcPr>
          <w:p>
            <w:pPr>
              <w:pStyle w:val="Normal"/>
              <w:widowControl/>
              <w:suppressAutoHyphens w:val="true"/>
              <w:bidi w:val="0"/>
              <w:spacing w:lineRule="auto" w:line="276" w:before="0" w:after="120"/>
              <w:jc w:val="left"/>
              <w:rPr/>
            </w:pPr>
            <w:r>
              <w:rPr/>
              <w:t>Immutable or append-closed evidence parts that have completed verification</w:t>
            </w:r>
          </w:p>
        </w:tc>
      </w:tr>
      <w:tr>
        <w:trPr/>
        <w:tc>
          <w:tcPr>
            <w:tcW w:w="4819" w:type="dxa"/>
            <w:tcBorders/>
          </w:tcPr>
          <w:p>
            <w:pPr>
              <w:pStyle w:val="Normal"/>
              <w:widowControl/>
              <w:suppressAutoHyphens w:val="true"/>
              <w:bidi w:val="0"/>
              <w:spacing w:lineRule="auto" w:line="276" w:before="0" w:after="120"/>
              <w:jc w:val="left"/>
              <w:rPr/>
            </w:pPr>
            <w:r>
              <w:rPr/>
              <w:t>Deterministically reconstructable derived material</w:t>
            </w:r>
          </w:p>
        </w:tc>
        <w:tc>
          <w:tcPr>
            <w:tcW w:w="4818" w:type="dxa"/>
            <w:tcBorders/>
          </w:tcPr>
          <w:p>
            <w:pPr>
              <w:pStyle w:val="Normal"/>
              <w:widowControl/>
              <w:suppressAutoHyphens w:val="true"/>
              <w:bidi w:val="0"/>
              <w:spacing w:lineRule="auto" w:line="276" w:before="0" w:after="120"/>
              <w:jc w:val="left"/>
              <w:rPr/>
            </w:pPr>
            <w:r>
              <w:rPr/>
              <w:t>Derived data that can be regenerated from surviving authoritative evidence under a specified version</w:t>
            </w:r>
          </w:p>
        </w:tc>
      </w:tr>
      <w:tr>
        <w:trPr/>
        <w:tc>
          <w:tcPr>
            <w:tcW w:w="4819" w:type="dxa"/>
            <w:tcBorders/>
          </w:tcPr>
          <w:p>
            <w:pPr>
              <w:pStyle w:val="Normal"/>
              <w:widowControl/>
              <w:suppressAutoHyphens w:val="true"/>
              <w:bidi w:val="0"/>
              <w:spacing w:lineRule="auto" w:line="276" w:before="0" w:after="120"/>
              <w:jc w:val="left"/>
              <w:rPr/>
            </w:pPr>
            <w:r>
              <w:rPr/>
              <w:t>Staged / pending</w:t>
            </w:r>
          </w:p>
        </w:tc>
        <w:tc>
          <w:tcPr>
            <w:tcW w:w="4818" w:type="dxa"/>
            <w:tcBorders/>
          </w:tcPr>
          <w:p>
            <w:pPr>
              <w:pStyle w:val="Normal"/>
              <w:widowControl/>
              <w:suppressAutoHyphens w:val="true"/>
              <w:bidi w:val="0"/>
              <w:spacing w:lineRule="auto" w:line="276" w:before="0" w:after="120"/>
              <w:jc w:val="left"/>
              <w:rPr/>
            </w:pPr>
            <w:r>
              <w:rPr/>
              <w:t>Material not yet sealed and therefore not eligible for retirement decisions</w:t>
            </w:r>
          </w:p>
        </w:tc>
      </w:tr>
      <w:tr>
        <w:trPr/>
        <w:tc>
          <w:tcPr>
            <w:tcW w:w="4819" w:type="dxa"/>
            <w:tcBorders/>
          </w:tcPr>
          <w:p>
            <w:pPr>
              <w:pStyle w:val="Normal"/>
              <w:widowControl/>
              <w:suppressAutoHyphens w:val="true"/>
              <w:bidi w:val="0"/>
              <w:spacing w:lineRule="auto" w:line="276" w:before="0" w:after="120"/>
              <w:jc w:val="left"/>
              <w:rPr/>
            </w:pPr>
            <w:r>
              <w:rPr/>
              <w:t>Historically irreplaceable</w:t>
            </w:r>
          </w:p>
        </w:tc>
        <w:tc>
          <w:tcPr>
            <w:tcW w:w="4818" w:type="dxa"/>
            <w:tcBorders/>
          </w:tcPr>
          <w:p>
            <w:pPr>
              <w:pStyle w:val="Normal"/>
              <w:widowControl/>
              <w:suppressAutoHyphens w:val="true"/>
              <w:bidi w:val="0"/>
              <w:spacing w:lineRule="auto" w:line="276" w:before="0" w:after="120"/>
              <w:jc w:val="left"/>
              <w:rPr/>
            </w:pPr>
            <w:r>
              <w:rPr/>
              <w:t>Evidence whose authoritative upstream source has pruned, expired or otherwise become unavailable</w:t>
            </w:r>
          </w:p>
        </w:tc>
      </w:tr>
      <w:tr>
        <w:trPr/>
        <w:tc>
          <w:tcPr>
            <w:tcW w:w="4819" w:type="dxa"/>
            <w:tcBorders/>
          </w:tcPr>
          <w:p>
            <w:pPr>
              <w:pStyle w:val="Normal"/>
              <w:widowControl/>
              <w:suppressAutoHyphens w:val="true"/>
              <w:bidi w:val="0"/>
              <w:spacing w:lineRule="auto" w:line="276" w:before="0" w:after="120"/>
              <w:jc w:val="left"/>
              <w:rPr/>
            </w:pPr>
            <w:r>
              <w:rPr/>
              <w:t>UNKNOWN reconstructability</w:t>
            </w:r>
          </w:p>
        </w:tc>
        <w:tc>
          <w:tcPr>
            <w:tcW w:w="4818" w:type="dxa"/>
            <w:tcBorders/>
          </w:tcPr>
          <w:p>
            <w:pPr>
              <w:pStyle w:val="Normal"/>
              <w:widowControl/>
              <w:suppressAutoHyphens w:val="true"/>
              <w:bidi w:val="0"/>
              <w:spacing w:lineRule="auto" w:line="276" w:before="0" w:after="120"/>
              <w:jc w:val="left"/>
              <w:rPr/>
            </w:pPr>
            <w:r>
              <w:rPr/>
              <w:t>Material whose safe reconstruction status has not been proven; it must be retained</w:t>
            </w:r>
          </w:p>
        </w:tc>
      </w:tr>
    </w:tbl>
    <w:p>
      <w:pPr>
        <w:pStyle w:val="Heading2"/>
        <w:rPr/>
      </w:pPr>
      <w:r>
        <w:rPr/>
        <w:t>38.2 Lifecycle: STAGE → SEAL → VERIFY → RELEASE</w:t>
      </w:r>
    </w:p>
    <w:p>
      <w:pPr>
        <w:pStyle w:val="Normal"/>
        <w:rPr/>
      </w:pPr>
      <w:r>
        <w:rPr/>
        <w:t>Evidence moves through a governed lifecycle:</w:t>
      </w:r>
    </w:p>
    <w:p>
      <w:pPr>
        <w:pStyle w:val="Compact"/>
        <w:numPr>
          <w:ilvl w:val="0"/>
          <w:numId w:val="7"/>
        </w:numPr>
        <w:rPr/>
      </w:pPr>
      <w:r>
        <w:rPr/>
        <w:t>STAGE — write the candidate representation and its provenance without treating it as authoritative replacement;</w:t>
      </w:r>
    </w:p>
    <w:p>
      <w:pPr>
        <w:pStyle w:val="Compact"/>
        <w:numPr>
          <w:ilvl w:val="0"/>
          <w:numId w:val="7"/>
        </w:numPr>
        <w:rPr/>
      </w:pPr>
      <w:r>
        <w:rPr/>
        <w:t>SEAL — close the defined item or range against further mutation and assign stable identity, range and manifest;</w:t>
      </w:r>
    </w:p>
    <w:p>
      <w:pPr>
        <w:pStyle w:val="Compact"/>
        <w:numPr>
          <w:ilvl w:val="0"/>
          <w:numId w:val="7"/>
        </w:numPr>
        <w:rPr/>
      </w:pPr>
      <w:r>
        <w:rPr/>
        <w:t>VERIFY — prove readability, integrity, provenance continuity and semantic sufficiency for the required reproduction;</w:t>
      </w:r>
    </w:p>
    <w:p>
      <w:pPr>
        <w:pStyle w:val="Compact"/>
        <w:numPr>
          <w:ilvl w:val="0"/>
          <w:numId w:val="7"/>
        </w:numPr>
        <w:rPr/>
      </w:pPr>
      <w:r>
        <w:rPr/>
        <w:t>RELEASE — mark a prior transient representation as potentially eligible for retirement assessment.</w:t>
      </w:r>
    </w:p>
    <w:p>
      <w:pPr>
        <w:pStyle w:val="BodyText"/>
        <w:rPr/>
      </w:pPr>
      <w:r>
        <w:rPr/>
        <w:t>RELEASE does not mean delete. It changes eligibility only. The prior representation remains until the independent evidence-retirement conditions are satisfied.</w:t>
      </w:r>
    </w:p>
    <w:p>
      <w:pPr>
        <w:pStyle w:val="Heading2"/>
        <w:rPr/>
      </w:pPr>
      <w:r>
        <w:rPr/>
        <w:t>38.3 Evidence retirement eligibility</w:t>
      </w:r>
    </w:p>
    <w:p>
      <w:pPr>
        <w:pStyle w:val="Normal"/>
        <w:rPr/>
      </w:pPr>
      <w:r>
        <w:rPr/>
        <w:t>No evidence is retired merely because it is old, large, duplicated in appearance or outside the active analytical window. An item or range becomes eligible only when all applicable conditions are proven:</w:t>
      </w:r>
    </w:p>
    <w:p>
      <w:pPr>
        <w:pStyle w:val="Compact"/>
        <w:numPr>
          <w:ilvl w:val="0"/>
          <w:numId w:val="7"/>
        </w:numPr>
        <w:rPr/>
      </w:pPr>
      <w:r>
        <w:rPr/>
        <w:t>it is outside the active operational or analytical need declared by policy;</w:t>
      </w:r>
    </w:p>
    <w:p>
      <w:pPr>
        <w:pStyle w:val="Compact"/>
        <w:numPr>
          <w:ilvl w:val="0"/>
          <w:numId w:val="7"/>
        </w:numPr>
        <w:rPr/>
      </w:pPr>
      <w:r>
        <w:rPr/>
        <w:t>it is not the only surviving evidence behind a retained observation or publication;</w:t>
      </w:r>
    </w:p>
    <w:p>
      <w:pPr>
        <w:pStyle w:val="Compact"/>
        <w:numPr>
          <w:ilvl w:val="0"/>
          <w:numId w:val="7"/>
        </w:numPr>
        <w:rPr/>
      </w:pPr>
      <w:r>
        <w:rPr/>
        <w:t>an authoritative surviving representation exists and is identifiable;</w:t>
      </w:r>
    </w:p>
    <w:p>
      <w:pPr>
        <w:pStyle w:val="Compact"/>
        <w:numPr>
          <w:ilvl w:val="0"/>
          <w:numId w:val="7"/>
        </w:numPr>
        <w:rPr/>
      </w:pPr>
      <w:r>
        <w:rPr/>
        <w:t>the surviving representation is readable and verified;</w:t>
      </w:r>
    </w:p>
    <w:p>
      <w:pPr>
        <w:pStyle w:val="Compact"/>
        <w:numPr>
          <w:ilvl w:val="0"/>
          <w:numId w:val="7"/>
        </w:numPr>
        <w:rPr/>
      </w:pPr>
      <w:r>
        <w:rPr/>
        <w:t>provenance continuity from the prior representation to the surviving representation is preserved;</w:t>
      </w:r>
    </w:p>
    <w:p>
      <w:pPr>
        <w:pStyle w:val="Compact"/>
        <w:numPr>
          <w:ilvl w:val="0"/>
          <w:numId w:val="7"/>
        </w:numPr>
        <w:rPr/>
      </w:pPr>
      <w:r>
        <w:rPr/>
        <w:t>the surviving representation is sufficient for the required reproduction or audit obligation;</w:t>
      </w:r>
    </w:p>
    <w:p>
      <w:pPr>
        <w:pStyle w:val="Compact"/>
        <w:numPr>
          <w:ilvl w:val="0"/>
          <w:numId w:val="7"/>
        </w:numPr>
        <w:rPr/>
      </w:pPr>
      <w:r>
        <w:rPr/>
        <w:t>no open dispute, recovery, certification, incident or audit requires the prior representation;</w:t>
      </w:r>
    </w:p>
    <w:p>
      <w:pPr>
        <w:pStyle w:val="Compact"/>
        <w:numPr>
          <w:ilvl w:val="0"/>
          <w:numId w:val="7"/>
        </w:numPr>
        <w:rPr/>
      </w:pPr>
      <w:r>
        <w:rPr/>
        <w:t>the governing evidence policy permits retirement for that class of material.</w:t>
      </w:r>
    </w:p>
    <w:p>
      <w:pPr>
        <w:pStyle w:val="BodyText"/>
        <w:rPr/>
      </w:pPr>
      <w:r>
        <w:rPr/>
        <w:t>If any material condition is unknown, the decision fails closed: retain the evidence until the unknown is resolved.</w:t>
      </w:r>
    </w:p>
    <w:p>
      <w:pPr>
        <w:pStyle w:val="Heading2"/>
        <w:rPr/>
      </w:pPr>
      <w:r>
        <w:rPr/>
        <w:t>38.4 Item- and range-level decisions</w:t>
      </w:r>
    </w:p>
    <w:p>
      <w:pPr>
        <w:pStyle w:val="Normal"/>
        <w:rPr/>
      </w:pPr>
      <w:r>
        <w:rPr/>
        <w:t>Retirement eligibility applies to an identified evidence item or coordinate range, not to a directory simply because the directory is old. Mixed directories may contain eligible and ineligible evidence. Policies and tooling must therefore make range-aware decisions and must be able to explain the status of each retired population.</w:t>
      </w:r>
    </w:p>
    <w:p>
      <w:pPr>
        <w:pStyle w:val="Heading2"/>
        <w:rPr/>
      </w:pPr>
      <w:r>
        <w:rPr/>
        <w:t>38.5 Retirement audit record</w:t>
      </w:r>
    </w:p>
    <w:p>
      <w:pPr>
        <w:pStyle w:val="Normal"/>
        <w:rPr/>
      </w:pPr>
      <w:r>
        <w:rPr/>
        <w:t>Every completed retirement action records at minimum:</w:t>
      </w:r>
    </w:p>
    <w:p>
      <w:pPr>
        <w:pStyle w:val="Compact"/>
        <w:numPr>
          <w:ilvl w:val="0"/>
          <w:numId w:val="7"/>
        </w:numPr>
        <w:rPr/>
      </w:pPr>
      <w:r>
        <w:rPr/>
        <w:t>the evidence identity and coordinate/range;</w:t>
      </w:r>
    </w:p>
    <w:p>
      <w:pPr>
        <w:pStyle w:val="Compact"/>
        <w:numPr>
          <w:ilvl w:val="0"/>
          <w:numId w:val="7"/>
        </w:numPr>
        <w:rPr/>
      </w:pPr>
      <w:r>
        <w:rPr/>
        <w:t>the governing rule and policy version;</w:t>
      </w:r>
    </w:p>
    <w:p>
      <w:pPr>
        <w:pStyle w:val="Compact"/>
        <w:numPr>
          <w:ilvl w:val="0"/>
          <w:numId w:val="7"/>
        </w:numPr>
        <w:rPr/>
      </w:pPr>
      <w:r>
        <w:rPr/>
        <w:t>decision and execution time plus responsible process or operator;</w:t>
      </w:r>
    </w:p>
    <w:p>
      <w:pPr>
        <w:pStyle w:val="Compact"/>
        <w:numPr>
          <w:ilvl w:val="0"/>
          <w:numId w:val="7"/>
        </w:numPr>
        <w:rPr/>
      </w:pPr>
      <w:r>
        <w:rPr/>
        <w:t>reason for eligibility;</w:t>
      </w:r>
    </w:p>
    <w:p>
      <w:pPr>
        <w:pStyle w:val="Compact"/>
        <w:numPr>
          <w:ilvl w:val="0"/>
          <w:numId w:val="7"/>
        </w:numPr>
        <w:rPr/>
      </w:pPr>
      <w:r>
        <w:rPr/>
        <w:t>the surviving replacement identity, manifest and integrity hash where applicable;</w:t>
      </w:r>
    </w:p>
    <w:p>
      <w:pPr>
        <w:pStyle w:val="Compact"/>
        <w:numPr>
          <w:ilvl w:val="0"/>
          <w:numId w:val="7"/>
        </w:numPr>
        <w:rPr/>
      </w:pPr>
      <w:r>
        <w:rPr/>
        <w:t>verification result and provenance-continuity reference;</w:t>
      </w:r>
    </w:p>
    <w:p>
      <w:pPr>
        <w:pStyle w:val="Compact"/>
        <w:numPr>
          <w:ilvl w:val="0"/>
          <w:numId w:val="7"/>
        </w:numPr>
        <w:rPr/>
      </w:pPr>
      <w:r>
        <w:rPr/>
        <w:t>any exception, dispute or recovery linkage.</w:t>
      </w:r>
    </w:p>
    <w:p>
      <w:pPr>
        <w:pStyle w:val="Heading2"/>
        <w:rPr/>
      </w:pPr>
      <w:r>
        <w:rPr/>
        <w:t>38.6 Analytical window and preservation are separate</w:t>
      </w:r>
    </w:p>
    <w:p>
      <w:pPr>
        <w:pStyle w:val="Normal"/>
        <w:rPr/>
      </w:pPr>
      <w:r>
        <w:rPr/>
        <w:t>A thirty-day or other analytical window controls which observations enter a current calculation; it does not define how long source evidence must survive. Historical, source-pruned, dispute-relevant or certification-critical evidence may require preservation beyond the analytical window.</w:t>
      </w:r>
    </w:p>
    <w:p>
      <w:pPr>
        <w:pStyle w:val="Heading2"/>
        <w:rPr/>
      </w:pPr>
      <w:r>
        <w:rPr/>
        <w:t>38.7 Unknown means retain</w:t>
      </w:r>
    </w:p>
    <w:p>
      <w:pPr>
        <w:pStyle w:val="Normal"/>
        <w:rPr/>
      </w:pPr>
      <w:r>
        <w:rPr/>
        <w:t>Terms such as old, derived, archived, compressed, backed up or stored elsewhere do not prove reconstructability. UNKNOWN is a governed state. Until an authoritative replacement and reproduction path are proven, UNKNOWN material is not disposable.</w:t>
      </w:r>
    </w:p>
    <w:p>
      <w:pPr>
        <w:pStyle w:val="Heading1"/>
        <w:rPr/>
      </w:pPr>
      <w:bookmarkStart w:id="635" w:name="__RefHeading___Toc9869_2989533693"/>
      <w:bookmarkEnd w:id="635"/>
      <w:r>
        <w:rPr/>
        <w:t>39. Reproduction, Verification and Reconstructability</w:t>
      </w:r>
    </w:p>
    <w:p>
      <w:pPr>
        <w:pStyle w:val="Heading2"/>
        <w:rPr/>
      </w:pPr>
      <w:r>
        <w:rPr/>
        <w:t>39.1 Reproduction and verification are different claims</w:t>
      </w:r>
    </w:p>
    <w:p>
      <w:pPr>
        <w:pStyle w:val="Normal"/>
        <w:rPr/>
      </w:pPr>
      <w:r>
        <w:rPr/>
        <w:t>Reproduction means re-deriving the canonical observation, measurement or output from preserved authoritative evidence under the declared adapter and methodology versions. Verification may mean checking integrity, identity or agreement—for example comparing a digest against bytes held elsewhere. Verification can support reproduction, but it is not a substitute for it.</w:t>
      </w:r>
    </w:p>
    <w:p>
      <w:pPr>
        <w:pStyle w:val="Heading2"/>
        <w:rPr/>
      </w:pPr>
      <w:r>
        <w:rPr/>
        <w:t>39.2 A digest is not the evidence</w:t>
      </w:r>
    </w:p>
    <w:p>
      <w:pPr>
        <w:pStyle w:val="Normal"/>
        <w:rPr/>
      </w:pPr>
      <w:r>
        <w:rPr/>
        <w:t>A cryptographic digest proves only that independently held bytes match a commitment. If the bytes are gone, the digest cannot recreate them. A digest alone therefore cannot satisfy the Edition 3.1 §4.4 requirement that an official result be independently reproducible. Likewise, a derived database row or journal summary does not by itself prove that the source evidence may disappear.</w:t>
      </w:r>
    </w:p>
    <w:p>
      <w:pPr>
        <w:pStyle w:val="Heading2"/>
        <w:rPr/>
      </w:pPr>
      <w:r>
        <w:rPr/>
        <w:t>39.3 Reconstructability classes</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Class</w:t>
            </w:r>
          </w:p>
        </w:tc>
        <w:tc>
          <w:tcPr>
            <w:tcW w:w="4818" w:type="dxa"/>
            <w:tcBorders/>
          </w:tcPr>
          <w:p>
            <w:pPr>
              <w:pStyle w:val="Normal"/>
              <w:widowControl/>
              <w:suppressAutoHyphens w:val="true"/>
              <w:bidi w:val="0"/>
              <w:spacing w:lineRule="auto" w:line="276" w:before="0" w:after="120"/>
              <w:jc w:val="left"/>
              <w:rPr/>
            </w:pPr>
            <w:r>
              <w:rPr>
                <w:b/>
              </w:rPr>
              <w:t>Retirement implication</w:t>
            </w:r>
          </w:p>
        </w:tc>
      </w:tr>
      <w:tr>
        <w:trPr/>
        <w:tc>
          <w:tcPr>
            <w:tcW w:w="4819" w:type="dxa"/>
            <w:tcBorders/>
          </w:tcPr>
          <w:p>
            <w:pPr>
              <w:pStyle w:val="Normal"/>
              <w:widowControl/>
              <w:suppressAutoHyphens w:val="true"/>
              <w:bidi w:val="0"/>
              <w:spacing w:lineRule="auto" w:line="276" w:before="0" w:after="120"/>
              <w:jc w:val="left"/>
              <w:rPr/>
            </w:pPr>
            <w:r>
              <w:rPr/>
              <w:t>Directly preserved source</w:t>
            </w:r>
          </w:p>
        </w:tc>
        <w:tc>
          <w:tcPr>
            <w:tcW w:w="4818" w:type="dxa"/>
            <w:tcBorders/>
          </w:tcPr>
          <w:p>
            <w:pPr>
              <w:pStyle w:val="Normal"/>
              <w:widowControl/>
              <w:suppressAutoHyphens w:val="true"/>
              <w:bidi w:val="0"/>
              <w:spacing w:lineRule="auto" w:line="276" w:before="0" w:after="120"/>
              <w:jc w:val="left"/>
              <w:rPr/>
            </w:pPr>
            <w:r>
              <w:rPr/>
              <w:t>Authoritative source evidence remains directly available within Voxonomics preservation</w:t>
            </w:r>
          </w:p>
        </w:tc>
      </w:tr>
      <w:tr>
        <w:trPr/>
        <w:tc>
          <w:tcPr>
            <w:tcW w:w="4819" w:type="dxa"/>
            <w:tcBorders/>
          </w:tcPr>
          <w:p>
            <w:pPr>
              <w:pStyle w:val="Normal"/>
              <w:widowControl/>
              <w:suppressAutoHyphens w:val="true"/>
              <w:bidi w:val="0"/>
              <w:spacing w:lineRule="auto" w:line="276" w:before="0" w:after="120"/>
              <w:jc w:val="left"/>
              <w:rPr/>
            </w:pPr>
            <w:r>
              <w:rPr/>
              <w:t>Independently verified replacement representation</w:t>
            </w:r>
          </w:p>
        </w:tc>
        <w:tc>
          <w:tcPr>
            <w:tcW w:w="4818" w:type="dxa"/>
            <w:tcBorders/>
          </w:tcPr>
          <w:p>
            <w:pPr>
              <w:pStyle w:val="Normal"/>
              <w:widowControl/>
              <w:suppressAutoHyphens w:val="true"/>
              <w:bidi w:val="0"/>
              <w:spacing w:lineRule="auto" w:line="276" w:before="0" w:after="120"/>
              <w:jc w:val="left"/>
              <w:rPr/>
            </w:pPr>
            <w:r>
              <w:rPr/>
              <w:t>A replacement has passed integrity, readability, provenance and semantic-equivalence checks</w:t>
            </w:r>
          </w:p>
        </w:tc>
      </w:tr>
      <w:tr>
        <w:trPr/>
        <w:tc>
          <w:tcPr>
            <w:tcW w:w="4819" w:type="dxa"/>
            <w:tcBorders/>
          </w:tcPr>
          <w:p>
            <w:pPr>
              <w:pStyle w:val="Normal"/>
              <w:widowControl/>
              <w:suppressAutoHyphens w:val="true"/>
              <w:bidi w:val="0"/>
              <w:spacing w:lineRule="auto" w:line="276" w:before="0" w:after="120"/>
              <w:jc w:val="left"/>
              <w:rPr/>
            </w:pPr>
            <w:r>
              <w:rPr/>
              <w:t>Deterministically reconstructable derived material</w:t>
            </w:r>
          </w:p>
        </w:tc>
        <w:tc>
          <w:tcPr>
            <w:tcW w:w="4818" w:type="dxa"/>
            <w:tcBorders/>
          </w:tcPr>
          <w:p>
            <w:pPr>
              <w:pStyle w:val="Normal"/>
              <w:widowControl/>
              <w:suppressAutoHyphens w:val="true"/>
              <w:bidi w:val="0"/>
              <w:spacing w:lineRule="auto" w:line="276" w:before="0" w:after="120"/>
              <w:jc w:val="left"/>
              <w:rPr/>
            </w:pPr>
            <w:r>
              <w:rPr/>
              <w:t>May be regenerated from surviving authoritative evidence under fixed code/version assumptions</w:t>
            </w:r>
          </w:p>
        </w:tc>
      </w:tr>
      <w:tr>
        <w:trPr/>
        <w:tc>
          <w:tcPr>
            <w:tcW w:w="4819" w:type="dxa"/>
            <w:tcBorders/>
          </w:tcPr>
          <w:p>
            <w:pPr>
              <w:pStyle w:val="Normal"/>
              <w:widowControl/>
              <w:suppressAutoHyphens w:val="true"/>
              <w:bidi w:val="0"/>
              <w:spacing w:lineRule="auto" w:line="276" w:before="0" w:after="120"/>
              <w:jc w:val="left"/>
              <w:rPr/>
            </w:pPr>
            <w:r>
              <w:rPr/>
              <w:t>Staged / pending</w:t>
            </w:r>
          </w:p>
        </w:tc>
        <w:tc>
          <w:tcPr>
            <w:tcW w:w="4818" w:type="dxa"/>
            <w:tcBorders/>
          </w:tcPr>
          <w:p>
            <w:pPr>
              <w:pStyle w:val="Normal"/>
              <w:widowControl/>
              <w:suppressAutoHyphens w:val="true"/>
              <w:bidi w:val="0"/>
              <w:spacing w:lineRule="auto" w:line="276" w:before="0" w:after="120"/>
              <w:jc w:val="left"/>
              <w:rPr/>
            </w:pPr>
            <w:r>
              <w:rPr/>
              <w:t>Not yet authoritative; no prior source representation is released on this basis</w:t>
            </w:r>
          </w:p>
        </w:tc>
      </w:tr>
      <w:tr>
        <w:trPr/>
        <w:tc>
          <w:tcPr>
            <w:tcW w:w="4819" w:type="dxa"/>
            <w:tcBorders/>
          </w:tcPr>
          <w:p>
            <w:pPr>
              <w:pStyle w:val="Normal"/>
              <w:widowControl/>
              <w:suppressAutoHyphens w:val="true"/>
              <w:bidi w:val="0"/>
              <w:spacing w:lineRule="auto" w:line="276" w:before="0" w:after="120"/>
              <w:jc w:val="left"/>
              <w:rPr/>
            </w:pPr>
            <w:r>
              <w:rPr/>
              <w:t>Historically irreplaceable / source-pruned</w:t>
            </w:r>
          </w:p>
        </w:tc>
        <w:tc>
          <w:tcPr>
            <w:tcW w:w="4818" w:type="dxa"/>
            <w:tcBorders/>
          </w:tcPr>
          <w:p>
            <w:pPr>
              <w:pStyle w:val="Normal"/>
              <w:widowControl/>
              <w:suppressAutoHyphens w:val="true"/>
              <w:bidi w:val="0"/>
              <w:spacing w:lineRule="auto" w:line="276" w:before="0" w:after="120"/>
              <w:jc w:val="left"/>
              <w:rPr/>
            </w:pPr>
            <w:r>
              <w:rPr/>
              <w:t>Treat as preservation-critical unless an independently sufficient representation survives</w:t>
            </w:r>
          </w:p>
        </w:tc>
      </w:tr>
      <w:tr>
        <w:trPr/>
        <w:tc>
          <w:tcPr>
            <w:tcW w:w="4819" w:type="dxa"/>
            <w:tcBorders/>
          </w:tcPr>
          <w:p>
            <w:pPr>
              <w:pStyle w:val="Normal"/>
              <w:widowControl/>
              <w:suppressAutoHyphens w:val="true"/>
              <w:bidi w:val="0"/>
              <w:spacing w:lineRule="auto" w:line="276" w:before="0" w:after="120"/>
              <w:jc w:val="left"/>
              <w:rPr/>
            </w:pPr>
            <w:r>
              <w:rPr/>
              <w:t>UNKNOWN</w:t>
            </w:r>
          </w:p>
        </w:tc>
        <w:tc>
          <w:tcPr>
            <w:tcW w:w="4818" w:type="dxa"/>
            <w:tcBorders/>
          </w:tcPr>
          <w:p>
            <w:pPr>
              <w:pStyle w:val="Normal"/>
              <w:widowControl/>
              <w:suppressAutoHyphens w:val="true"/>
              <w:bidi w:val="0"/>
              <w:spacing w:lineRule="auto" w:line="276" w:before="0" w:after="120"/>
              <w:jc w:val="left"/>
              <w:rPr/>
            </w:pPr>
            <w:r>
              <w:rPr/>
              <w:t>Not eligible for retirement</w:t>
            </w:r>
          </w:p>
        </w:tc>
      </w:tr>
    </w:tbl>
    <w:p>
      <w:pPr>
        <w:pStyle w:val="Heading2"/>
        <w:rPr/>
      </w:pPr>
      <w:r>
        <w:rPr/>
        <w:t>39.4 Logical journals and completeness claims</w:t>
      </w:r>
    </w:p>
    <w:p>
      <w:pPr>
        <w:pStyle w:val="Normal"/>
        <w:rPr/>
      </w:pPr>
      <w:r>
        <w:rPr/>
        <w:t>A logical journal may consist of an active tail plus one or more sealed parts or packs. A completeness claim is valid only when its denominator is the complete compatible population within the declared scope. Current-tail bytes, file size, maximum-held coordinate or a convenient subset must not be presented as the denominator for complete coordinate coverage.</w:t>
      </w:r>
    </w:p>
    <w:p>
      <w:pPr>
        <w:pStyle w:val="BodyText"/>
        <w:rPr/>
      </w:pPr>
      <w:r>
        <w:rPr/>
        <w:t>Where an honest denominator cannot be established, Voxonomics withholds the completeness claim rather than manufacturing one. Missing, skipped and structurally absent coordinates must be distinguished according to the rules of the relevant chain.</w:t>
      </w:r>
    </w:p>
    <w:p>
      <w:pPr>
        <w:pStyle w:val="Heading2"/>
        <w:rPr/>
      </w:pPr>
      <w:r>
        <w:rPr/>
        <w:t>39.5 Source-pruned historical evidence</w:t>
      </w:r>
    </w:p>
    <w:p>
      <w:pPr>
        <w:pStyle w:val="Normal"/>
        <w:rPr/>
      </w:pPr>
      <w:r>
        <w:rPr/>
        <w:t>When an upstream network node, provider or external source can no longer reproduce historical material, locally preserved evidence may become irreplaceable even if it lies far outside the analytical window. Such evidence is not retired on age grounds. Preservation priority increases when reacquisition becomes difficult or impossible.</w:t>
      </w:r>
    </w:p>
    <w:p>
      <w:pPr>
        <w:pStyle w:val="Heading1"/>
        <w:rPr/>
      </w:pPr>
      <w:bookmarkStart w:id="636" w:name="__RefHeading___Toc9871_2989533693"/>
      <w:bookmarkEnd w:id="636"/>
      <w:r>
        <w:rPr/>
        <w:t>40. Vox-in-a-Box Data and Evidence Nodes</w:t>
      </w:r>
    </w:p>
    <w:p>
      <w:pPr>
        <w:pStyle w:val="Heading2"/>
        <w:rPr/>
      </w:pPr>
      <w:r>
        <w:rPr/>
        <w:t>40.1 Definition</w:t>
      </w:r>
    </w:p>
    <w:p>
      <w:pPr>
        <w:pStyle w:val="Normal"/>
        <w:rPr/>
      </w:pPr>
      <w:r>
        <w:rPr/>
        <w:t>A Vox-in-a-Box node is an independently operable Voxonomics data/evidence node. It is not merely a dashboard appliance. A node can participate in acquisition, preservation, reproduction and verification while using the same governed Voxonomics methodology as every other canonical implementation.</w:t>
      </w:r>
    </w:p>
    <w:p>
      <w:pPr>
        <w:pStyle w:val="Heading2"/>
        <w:rPr/>
      </w:pPr>
      <w:r>
        <w:rPr/>
        <w:t>40.2 Optional node roles</w:t>
      </w:r>
    </w:p>
    <w:p>
      <w:pPr>
        <w:pStyle w:val="Normal"/>
        <w:rPr/>
      </w:pPr>
      <w:r>
        <w:rPr/>
        <w:t>A deployment may perform one or more roles:</w:t>
      </w:r>
    </w:p>
    <w:p>
      <w:pPr>
        <w:pStyle w:val="Compact"/>
        <w:numPr>
          <w:ilvl w:val="0"/>
          <w:numId w:val="7"/>
        </w:numPr>
        <w:rPr/>
      </w:pPr>
      <w:r>
        <w:rPr/>
        <w:t>collection from blockchain or authoritative external sources;</w:t>
      </w:r>
    </w:p>
    <w:p>
      <w:pPr>
        <w:pStyle w:val="Compact"/>
        <w:numPr>
          <w:ilvl w:val="0"/>
          <w:numId w:val="7"/>
        </w:numPr>
        <w:rPr/>
      </w:pPr>
      <w:r>
        <w:rPr/>
        <w:t>evidence preservation and historical custody;</w:t>
      </w:r>
    </w:p>
    <w:p>
      <w:pPr>
        <w:pStyle w:val="Compact"/>
        <w:numPr>
          <w:ilvl w:val="0"/>
          <w:numId w:val="7"/>
        </w:numPr>
        <w:rPr/>
      </w:pPr>
      <w:r>
        <w:rPr/>
        <w:t>chain-specific adapter execution;</w:t>
      </w:r>
    </w:p>
    <w:p>
      <w:pPr>
        <w:pStyle w:val="Compact"/>
        <w:numPr>
          <w:ilvl w:val="0"/>
          <w:numId w:val="7"/>
        </w:numPr>
        <w:rPr/>
      </w:pPr>
      <w:r>
        <w:rPr/>
        <w:t>measurement and snapshot reproduction;</w:t>
      </w:r>
    </w:p>
    <w:p>
      <w:pPr>
        <w:pStyle w:val="Compact"/>
        <w:numPr>
          <w:ilvl w:val="0"/>
          <w:numId w:val="7"/>
        </w:numPr>
        <w:rPr/>
      </w:pPr>
      <w:r>
        <w:rPr/>
        <w:t>evidence-package and manifest verification;</w:t>
      </w:r>
    </w:p>
    <w:p>
      <w:pPr>
        <w:pStyle w:val="Compact"/>
        <w:numPr>
          <w:ilvl w:val="0"/>
          <w:numId w:val="7"/>
        </w:numPr>
        <w:rPr/>
      </w:pPr>
      <w:r>
        <w:rPr/>
        <w:t>selective evidence replication;</w:t>
      </w:r>
    </w:p>
    <w:p>
      <w:pPr>
        <w:pStyle w:val="Compact"/>
        <w:numPr>
          <w:ilvl w:val="0"/>
          <w:numId w:val="7"/>
        </w:numPr>
        <w:rPr/>
      </w:pPr>
      <w:r>
        <w:rPr/>
        <w:t>signed publication of reproduced outputs;</w:t>
      </w:r>
    </w:p>
    <w:p>
      <w:pPr>
        <w:pStyle w:val="Compact"/>
        <w:numPr>
          <w:ilvl w:val="0"/>
          <w:numId w:val="7"/>
        </w:numPr>
        <w:rPr/>
      </w:pPr>
      <w:r>
        <w:rPr/>
        <w:t>challenge and reconciliation of disputed observations;</w:t>
      </w:r>
    </w:p>
    <w:p>
      <w:pPr>
        <w:pStyle w:val="Compact"/>
        <w:numPr>
          <w:ilvl w:val="0"/>
          <w:numId w:val="7"/>
        </w:numPr>
        <w:rPr/>
      </w:pPr>
      <w:r>
        <w:rPr/>
        <w:t>historical preservation where upstream evidence is difficult to reacquire.</w:t>
      </w:r>
    </w:p>
    <w:p>
      <w:pPr>
        <w:pStyle w:val="Heading2"/>
        <w:rPr/>
      </w:pPr>
      <w:r>
        <w:rPr/>
        <w:t>40.3 Methodology boundary</w:t>
      </w:r>
    </w:p>
    <w:p>
      <w:pPr>
        <w:pStyle w:val="Normal"/>
        <w:rPr/>
      </w:pPr>
      <w:r>
        <w:rPr/>
        <w:t>Nodes decentralise acquisition, possession, reproduction, verification and publication resilience. They do not decentralise the definition of canonical Voxonomics into incompatible forks. A node cannot alter VTS, parent weights, canonical metric definitions, benchmark policy, exclusions or missing-data rules and describe the resulting output as canonical Voxonomics.</w:t>
      </w:r>
    </w:p>
    <w:p>
      <w:pPr>
        <w:pStyle w:val="Heading2"/>
        <w:rPr/>
      </w:pPr>
      <w:r>
        <w:rPr/>
        <w:t>40.4 Node evidence provenance</w:t>
      </w:r>
    </w:p>
    <w:p>
      <w:pPr>
        <w:pStyle w:val="Normal"/>
        <w:rPr/>
      </w:pPr>
      <w:r>
        <w:rPr/>
        <w:t>A node-produced evidence package should identify, where applicable:</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cantSplit w:val="true"/>
        </w:trPr>
        <w:tc>
          <w:tcPr>
            <w:tcW w:w="4819" w:type="dxa"/>
            <w:tcBorders/>
          </w:tcPr>
          <w:p>
            <w:pPr>
              <w:pStyle w:val="Normal"/>
              <w:widowControl/>
              <w:suppressAutoHyphens w:val="true"/>
              <w:bidi w:val="0"/>
              <w:spacing w:lineRule="auto" w:line="276" w:before="0" w:after="120"/>
              <w:jc w:val="left"/>
              <w:rPr/>
            </w:pPr>
            <w:r>
              <w:rPr>
                <w:b/>
              </w:rPr>
              <w:t>Field</w:t>
            </w:r>
          </w:p>
        </w:tc>
        <w:tc>
          <w:tcPr>
            <w:tcW w:w="4818" w:type="dxa"/>
            <w:tcBorders/>
          </w:tcPr>
          <w:p>
            <w:pPr>
              <w:pStyle w:val="Normal"/>
              <w:widowControl/>
              <w:suppressAutoHyphens w:val="true"/>
              <w:bidi w:val="0"/>
              <w:spacing w:lineRule="auto" w:line="276" w:before="0" w:after="120"/>
              <w:jc w:val="left"/>
              <w:rPr/>
            </w:pPr>
            <w:r>
              <w:rPr>
                <w:b/>
              </w:rPr>
              <w:t>Purpose</w:t>
            </w:r>
          </w:p>
        </w:tc>
      </w:tr>
      <w:tr>
        <w:trPr>
          <w:cantSplit w:val="true"/>
        </w:trPr>
        <w:tc>
          <w:tcPr>
            <w:tcW w:w="4819" w:type="dxa"/>
            <w:tcBorders/>
          </w:tcPr>
          <w:p>
            <w:pPr>
              <w:pStyle w:val="Normal"/>
              <w:widowControl/>
              <w:suppressAutoHyphens w:val="true"/>
              <w:bidi w:val="0"/>
              <w:spacing w:lineRule="auto" w:line="276" w:before="0" w:after="120"/>
              <w:jc w:val="left"/>
              <w:rPr/>
            </w:pPr>
            <w:r>
              <w:rPr/>
              <w:t>node identity</w:t>
            </w:r>
          </w:p>
        </w:tc>
        <w:tc>
          <w:tcPr>
            <w:tcW w:w="4818" w:type="dxa"/>
            <w:tcBorders/>
          </w:tcPr>
          <w:p>
            <w:pPr>
              <w:pStyle w:val="Normal"/>
              <w:widowControl/>
              <w:suppressAutoHyphens w:val="true"/>
              <w:bidi w:val="0"/>
              <w:spacing w:lineRule="auto" w:line="276" w:before="0" w:after="120"/>
              <w:jc w:val="left"/>
              <w:rPr/>
            </w:pPr>
            <w:r>
              <w:rPr/>
              <w:t>Identifies the producing or preserving node</w:t>
            </w:r>
          </w:p>
        </w:tc>
      </w:tr>
      <w:tr>
        <w:trPr>
          <w:cantSplit w:val="true"/>
        </w:trPr>
        <w:tc>
          <w:tcPr>
            <w:tcW w:w="4819" w:type="dxa"/>
            <w:tcBorders/>
          </w:tcPr>
          <w:p>
            <w:pPr>
              <w:pStyle w:val="Normal"/>
              <w:widowControl/>
              <w:suppressAutoHyphens w:val="true"/>
              <w:bidi w:val="0"/>
              <w:spacing w:lineRule="auto" w:line="276" w:before="0" w:after="120"/>
              <w:jc w:val="left"/>
              <w:rPr/>
            </w:pPr>
            <w:r>
              <w:rPr/>
              <w:t>network and coordinate/range</w:t>
            </w:r>
          </w:p>
        </w:tc>
        <w:tc>
          <w:tcPr>
            <w:tcW w:w="4818" w:type="dxa"/>
            <w:tcBorders/>
          </w:tcPr>
          <w:p>
            <w:pPr>
              <w:pStyle w:val="Normal"/>
              <w:widowControl/>
              <w:suppressAutoHyphens w:val="true"/>
              <w:bidi w:val="0"/>
              <w:spacing w:lineRule="auto" w:line="276" w:before="0" w:after="120"/>
              <w:jc w:val="left"/>
              <w:rPr/>
            </w:pPr>
            <w:r>
              <w:rPr/>
              <w:t>Locates the source evidence in its native system</w:t>
            </w:r>
          </w:p>
        </w:tc>
      </w:tr>
      <w:tr>
        <w:trPr>
          <w:cantSplit w:val="true"/>
        </w:trPr>
        <w:tc>
          <w:tcPr>
            <w:tcW w:w="4819" w:type="dxa"/>
            <w:tcBorders/>
          </w:tcPr>
          <w:p>
            <w:pPr>
              <w:pStyle w:val="Normal"/>
              <w:widowControl/>
              <w:suppressAutoHyphens w:val="true"/>
              <w:bidi w:val="0"/>
              <w:spacing w:lineRule="auto" w:line="276" w:before="0" w:after="120"/>
              <w:jc w:val="left"/>
              <w:rPr/>
            </w:pPr>
            <w:r>
              <w:rPr/>
              <w:t>source/provider/endpoint</w:t>
            </w:r>
          </w:p>
        </w:tc>
        <w:tc>
          <w:tcPr>
            <w:tcW w:w="4818" w:type="dxa"/>
            <w:tcBorders/>
          </w:tcPr>
          <w:p>
            <w:pPr>
              <w:pStyle w:val="Normal"/>
              <w:widowControl/>
              <w:suppressAutoHyphens w:val="true"/>
              <w:bidi w:val="0"/>
              <w:spacing w:lineRule="auto" w:line="276" w:before="0" w:after="120"/>
              <w:jc w:val="left"/>
              <w:rPr/>
            </w:pPr>
            <w:r>
              <w:rPr/>
              <w:t>Identifies the acquisition path and upstream authority</w:t>
            </w:r>
          </w:p>
        </w:tc>
      </w:tr>
      <w:tr>
        <w:trPr>
          <w:cantSplit w:val="true"/>
        </w:trPr>
        <w:tc>
          <w:tcPr>
            <w:tcW w:w="4819" w:type="dxa"/>
            <w:tcBorders/>
          </w:tcPr>
          <w:p>
            <w:pPr>
              <w:pStyle w:val="Normal"/>
              <w:widowControl/>
              <w:suppressAutoHyphens w:val="true"/>
              <w:bidi w:val="0"/>
              <w:spacing w:lineRule="auto" w:line="276" w:before="0" w:after="120"/>
              <w:jc w:val="left"/>
              <w:rPr/>
            </w:pPr>
            <w:r>
              <w:rPr/>
              <w:t>retrieval time</w:t>
            </w:r>
          </w:p>
        </w:tc>
        <w:tc>
          <w:tcPr>
            <w:tcW w:w="4818" w:type="dxa"/>
            <w:tcBorders/>
          </w:tcPr>
          <w:p>
            <w:pPr>
              <w:pStyle w:val="Normal"/>
              <w:widowControl/>
              <w:suppressAutoHyphens w:val="true"/>
              <w:bidi w:val="0"/>
              <w:spacing w:lineRule="auto" w:line="276" w:before="0" w:after="120"/>
              <w:jc w:val="left"/>
              <w:rPr/>
            </w:pPr>
            <w:r>
              <w:rPr/>
              <w:t>Records when the evidence was obtained</w:t>
            </w:r>
          </w:p>
        </w:tc>
      </w:tr>
      <w:tr>
        <w:trPr>
          <w:cantSplit w:val="true"/>
        </w:trPr>
        <w:tc>
          <w:tcPr>
            <w:tcW w:w="4819" w:type="dxa"/>
            <w:tcBorders/>
          </w:tcPr>
          <w:p>
            <w:pPr>
              <w:pStyle w:val="Normal"/>
              <w:widowControl/>
              <w:suppressAutoHyphens w:val="true"/>
              <w:bidi w:val="0"/>
              <w:spacing w:lineRule="auto" w:line="276" w:before="0" w:after="120"/>
              <w:jc w:val="left"/>
              <w:rPr/>
            </w:pPr>
            <w:r>
              <w:rPr/>
              <w:t>collector and adapter version</w:t>
            </w:r>
          </w:p>
        </w:tc>
        <w:tc>
          <w:tcPr>
            <w:tcW w:w="4818" w:type="dxa"/>
            <w:tcBorders/>
          </w:tcPr>
          <w:p>
            <w:pPr>
              <w:pStyle w:val="Normal"/>
              <w:widowControl/>
              <w:suppressAutoHyphens w:val="true"/>
              <w:bidi w:val="0"/>
              <w:spacing w:lineRule="auto" w:line="276" w:before="0" w:after="120"/>
              <w:jc w:val="left"/>
              <w:rPr/>
            </w:pPr>
            <w:r>
              <w:rPr/>
              <w:t>Identifies the extraction and mapping implementation</w:t>
            </w:r>
          </w:p>
        </w:tc>
      </w:tr>
      <w:tr>
        <w:trPr>
          <w:cantSplit w:val="true"/>
        </w:trPr>
        <w:tc>
          <w:tcPr>
            <w:tcW w:w="4819" w:type="dxa"/>
            <w:tcBorders/>
          </w:tcPr>
          <w:p>
            <w:pPr>
              <w:pStyle w:val="Normal"/>
              <w:widowControl/>
              <w:suppressAutoHyphens w:val="true"/>
              <w:bidi w:val="0"/>
              <w:spacing w:lineRule="auto" w:line="276" w:before="0" w:after="120"/>
              <w:jc w:val="left"/>
              <w:rPr/>
            </w:pPr>
            <w:r>
              <w:rPr/>
              <w:t>package/manifest hash</w:t>
            </w:r>
          </w:p>
        </w:tc>
        <w:tc>
          <w:tcPr>
            <w:tcW w:w="4818" w:type="dxa"/>
            <w:tcBorders/>
          </w:tcPr>
          <w:p>
            <w:pPr>
              <w:pStyle w:val="Normal"/>
              <w:widowControl/>
              <w:suppressAutoHyphens w:val="true"/>
              <w:bidi w:val="0"/>
              <w:spacing w:lineRule="auto" w:line="276" w:before="0" w:after="120"/>
              <w:jc w:val="left"/>
              <w:rPr/>
            </w:pPr>
            <w:r>
              <w:rPr/>
              <w:t>Commits to the package identity and integrity</w:t>
            </w:r>
          </w:p>
        </w:tc>
      </w:tr>
      <w:tr>
        <w:trPr>
          <w:cantSplit w:val="true"/>
        </w:trPr>
        <w:tc>
          <w:tcPr>
            <w:tcW w:w="4819" w:type="dxa"/>
            <w:tcBorders/>
          </w:tcPr>
          <w:p>
            <w:pPr>
              <w:pStyle w:val="Normal"/>
              <w:widowControl/>
              <w:suppressAutoHyphens w:val="true"/>
              <w:bidi w:val="0"/>
              <w:spacing w:lineRule="auto" w:line="276" w:before="0" w:after="120"/>
              <w:jc w:val="left"/>
              <w:rPr/>
            </w:pPr>
            <w:r>
              <w:rPr/>
              <w:t>methodology version</w:t>
            </w:r>
          </w:p>
        </w:tc>
        <w:tc>
          <w:tcPr>
            <w:tcW w:w="4818" w:type="dxa"/>
            <w:tcBorders/>
          </w:tcPr>
          <w:p>
            <w:pPr>
              <w:pStyle w:val="Normal"/>
              <w:widowControl/>
              <w:suppressAutoHyphens w:val="true"/>
              <w:bidi w:val="0"/>
              <w:spacing w:lineRule="auto" w:line="276" w:before="0" w:after="120"/>
              <w:jc w:val="left"/>
              <w:rPr/>
            </w:pPr>
            <w:r>
              <w:rPr/>
              <w:t>Identifies the governing Voxonomics standard</w:t>
            </w:r>
          </w:p>
        </w:tc>
      </w:tr>
      <w:tr>
        <w:trPr>
          <w:cantSplit w:val="true"/>
        </w:trPr>
        <w:tc>
          <w:tcPr>
            <w:tcW w:w="4819" w:type="dxa"/>
            <w:tcBorders/>
          </w:tcPr>
          <w:p>
            <w:pPr>
              <w:pStyle w:val="Normal"/>
              <w:widowControl/>
              <w:suppressAutoHyphens w:val="true"/>
              <w:bidi w:val="0"/>
              <w:spacing w:lineRule="auto" w:line="276" w:before="0" w:after="120"/>
              <w:jc w:val="left"/>
              <w:rPr/>
            </w:pPr>
            <w:r>
              <w:rPr/>
              <w:t>quality flags</w:t>
            </w:r>
          </w:p>
        </w:tc>
        <w:tc>
          <w:tcPr>
            <w:tcW w:w="4818" w:type="dxa"/>
            <w:tcBorders/>
          </w:tcPr>
          <w:p>
            <w:pPr>
              <w:pStyle w:val="Normal"/>
              <w:widowControl/>
              <w:suppressAutoHyphens w:val="true"/>
              <w:bidi w:val="0"/>
              <w:spacing w:lineRule="auto" w:line="276" w:before="0" w:after="120"/>
              <w:jc w:val="left"/>
              <w:rPr/>
            </w:pPr>
            <w:r>
              <w:rPr/>
              <w:t>Records incompleteness, fallback, staleness or source limitations</w:t>
            </w:r>
          </w:p>
        </w:tc>
      </w:tr>
      <w:tr>
        <w:trPr>
          <w:cantSplit w:val="true"/>
        </w:trPr>
        <w:tc>
          <w:tcPr>
            <w:tcW w:w="4819" w:type="dxa"/>
            <w:tcBorders/>
          </w:tcPr>
          <w:p>
            <w:pPr>
              <w:pStyle w:val="Normal"/>
              <w:widowControl/>
              <w:suppressAutoHyphens w:val="true"/>
              <w:bidi w:val="0"/>
              <w:spacing w:lineRule="auto" w:line="276" w:before="0" w:after="120"/>
              <w:jc w:val="left"/>
              <w:rPr/>
            </w:pPr>
            <w:r>
              <w:rPr/>
              <w:t>exception/dispute state</w:t>
            </w:r>
          </w:p>
        </w:tc>
        <w:tc>
          <w:tcPr>
            <w:tcW w:w="4818" w:type="dxa"/>
            <w:tcBorders/>
          </w:tcPr>
          <w:p>
            <w:pPr>
              <w:pStyle w:val="Normal"/>
              <w:widowControl/>
              <w:suppressAutoHyphens w:val="true"/>
              <w:bidi w:val="0"/>
              <w:spacing w:lineRule="auto" w:line="276" w:before="0" w:after="120"/>
              <w:jc w:val="left"/>
              <w:rPr/>
            </w:pPr>
            <w:r>
              <w:rPr/>
              <w:t>Links unresolved evidence issues</w:t>
            </w:r>
          </w:p>
        </w:tc>
      </w:tr>
      <w:tr>
        <w:trPr>
          <w:cantSplit w:val="true"/>
        </w:trPr>
        <w:tc>
          <w:tcPr>
            <w:tcW w:w="4819" w:type="dxa"/>
            <w:tcBorders/>
          </w:tcPr>
          <w:p>
            <w:pPr>
              <w:pStyle w:val="Normal"/>
              <w:widowControl/>
              <w:suppressAutoHyphens w:val="true"/>
              <w:bidi w:val="0"/>
              <w:spacing w:lineRule="auto" w:line="276" w:before="0" w:after="120"/>
              <w:jc w:val="left"/>
              <w:rPr/>
            </w:pPr>
            <w:r>
              <w:rPr/>
              <w:t>signature identity</w:t>
            </w:r>
          </w:p>
        </w:tc>
        <w:tc>
          <w:tcPr>
            <w:tcW w:w="4818" w:type="dxa"/>
            <w:tcBorders/>
          </w:tcPr>
          <w:p>
            <w:pPr>
              <w:pStyle w:val="Normal"/>
              <w:widowControl/>
              <w:suppressAutoHyphens w:val="true"/>
              <w:bidi w:val="0"/>
              <w:spacing w:lineRule="auto" w:line="276" w:before="0" w:after="120"/>
              <w:jc w:val="left"/>
              <w:rPr/>
            </w:pPr>
            <w:r>
              <w:rPr/>
              <w:t>Identifies who attested to the package or result</w:t>
            </w:r>
          </w:p>
        </w:tc>
      </w:tr>
    </w:tbl>
    <w:p>
      <w:pPr>
        <w:pStyle w:val="BodyText"/>
        <w:rPr/>
      </w:pPr>
      <w:r>
        <w:rPr/>
        <w:t>Identity proves origin, not correctness. A signed package can still contain an error; correctness remains a property of source evidence, method and reproducible calculation.</w:t>
      </w:r>
    </w:p>
    <w:p>
      <w:pPr>
        <w:pStyle w:val="Heading2"/>
        <w:rPr/>
      </w:pPr>
      <w:r>
        <w:rPr/>
        <w:t>40.5 Signed publication and independent reproduction</w:t>
      </w:r>
    </w:p>
    <w:p>
      <w:pPr>
        <w:pStyle w:val="Normal"/>
        <w:rPr/>
      </w:pPr>
      <w:r>
        <w:rPr/>
        <w:t>Nodes may sign evidence manifests or reproduced results. Multiple signatures improve publication resilience and make disagreement observable, but canonical acceptance depends on evidence and methodology compliance rather than signature count alone.</w:t>
      </w:r>
    </w:p>
    <w:p>
      <w:pPr>
        <w:pStyle w:val="Heading2"/>
        <w:rPr/>
      </w:pPr>
      <w:r>
        <w:rPr/>
        <w:t>40.6 Implementation scope</w:t>
      </w:r>
    </w:p>
    <w:p>
      <w:pPr>
        <w:pStyle w:val="Normal"/>
        <w:rPr/>
      </w:pPr>
      <w:r>
        <w:rPr/>
        <w:t>The initial implementation programme focuses engineering on Ethereum, Solana and Avalanche as materially different execution environments. This is an implementation focus, not a statement that every canonical submetric is production-certified on every network. Certification remains evidence-based and must be published at the applicable adapter, metric and chain scope.</w:t>
      </w:r>
    </w:p>
    <w:p>
      <w:pPr>
        <w:pStyle w:val="Heading1"/>
        <w:rPr/>
      </w:pPr>
      <w:bookmarkStart w:id="637" w:name="__RefHeading___Toc9873_2989533693"/>
      <w:bookmarkEnd w:id="637"/>
      <w:r>
        <w:rPr/>
        <w:t>41. Distributed Replication, Challenge and Reconciliation</w:t>
      </w:r>
    </w:p>
    <w:p>
      <w:pPr>
        <w:pStyle w:val="Heading2"/>
        <w:rPr/>
      </w:pPr>
      <w:r>
        <w:rPr/>
        <w:t>41.1 Selective replication</w:t>
      </w:r>
    </w:p>
    <w:p>
      <w:pPr>
        <w:pStyle w:val="Normal"/>
        <w:rPr/>
      </w:pPr>
      <w:r>
        <w:rPr/>
        <w:t>Voxonomics does not require every node to replicate every byte. Replication is prioritised for evidence that is difficult to reacquire, historically significant, required for reproducibility, involved in a dispute, exposed to upstream pruning, or critical to certification and recovery. Common, cheaply reacquirable material may use lighter replication when policy permits.</w:t>
      </w:r>
    </w:p>
    <w:p>
      <w:pPr>
        <w:pStyle w:val="Heading2"/>
        <w:rPr/>
      </w:pPr>
      <w:r>
        <w:rPr/>
        <w:t>41.2 Redundancy and independence</w:t>
      </w:r>
    </w:p>
    <w:p>
      <w:pPr>
        <w:pStyle w:val="Normal"/>
        <w:rPr/>
      </w:pPr>
      <w:r>
        <w:rPr/>
        <w:t>Edition 3.2 distinguishes three different properties:</w:t>
      </w:r>
    </w:p>
    <w:p>
      <w:pPr>
        <w:pStyle w:val="Compact"/>
        <w:numPr>
          <w:ilvl w:val="0"/>
          <w:numId w:val="7"/>
        </w:numPr>
        <w:rPr/>
      </w:pPr>
      <w:r>
        <w:rPr/>
        <w:t>transport redundancy — multiple endpoints or mirrors can deliver the same upstream material;</w:t>
      </w:r>
    </w:p>
    <w:p>
      <w:pPr>
        <w:pStyle w:val="Compact"/>
        <w:numPr>
          <w:ilvl w:val="0"/>
          <w:numId w:val="7"/>
        </w:numPr>
        <w:rPr/>
      </w:pPr>
      <w:r>
        <w:rPr/>
        <w:t>source independence — evidence comes through materially independent upstream acquisition paths or authorities;</w:t>
      </w:r>
    </w:p>
    <w:p>
      <w:pPr>
        <w:pStyle w:val="Compact"/>
        <w:numPr>
          <w:ilvl w:val="0"/>
          <w:numId w:val="7"/>
        </w:numPr>
        <w:rPr/>
      </w:pPr>
      <w:r>
        <w:rPr/>
        <w:t>methodological independence — a separate implementation independently reproduces the observation or calculation under the same canonical rules.</w:t>
      </w:r>
    </w:p>
    <w:p>
      <w:pPr>
        <w:pStyle w:val="BodyText"/>
        <w:rPr/>
      </w:pPr>
      <w:r>
        <w:rPr/>
        <w:t>More endpoints do not automatically provide more independent evidence. Confidence claims must describe which kind of redundancy or independence actually exists.</w:t>
      </w:r>
    </w:p>
    <w:p>
      <w:pPr>
        <w:pStyle w:val="Heading2"/>
        <w:rPr/>
      </w:pPr>
      <w:r>
        <w:rPr/>
        <w:t>41.3 Agreement is useful but not truth</w:t>
      </w:r>
    </w:p>
    <w:p>
      <w:pPr>
        <w:pStyle w:val="Normal"/>
        <w:rPr/>
      </w:pPr>
      <w:r>
        <w:rPr/>
        <w:t>Two or more nodes can agree and still be wrong if they share a defective provider, adapter, dependency or corrupted evidence package. Node agreement is therefore a corroborating signal, not a truth rule.</w:t>
      </w:r>
    </w:p>
    <w:p>
      <w:pPr>
        <w:pStyle w:val="Heading2"/>
        <w:rPr/>
      </w:pPr>
      <w:r>
        <w:rPr/>
        <w:t>41.4 Preserve disagreement</w:t>
      </w:r>
    </w:p>
    <w:p>
      <w:pPr>
        <w:pStyle w:val="Normal"/>
        <w:rPr/>
      </w:pPr>
      <w:r>
        <w:rPr/>
        <w:t>When canonical nodes disagree, Voxonomics preserves the conflicting observations, provenance and manifests long enough to investigate. Majority agreement must not erase minority evidence. Reconciliation returns to authoritative source evidence, declared scope, adapter logic and calculation trace.</w:t>
      </w:r>
    </w:p>
    <w:p>
      <w:pPr>
        <w:pStyle w:val="Heading2"/>
        <w:rPr/>
      </w:pPr>
      <w:r>
        <w:rPr/>
        <w:t>41.5 Challenge and reconciliation</w:t>
      </w:r>
    </w:p>
    <w:p>
      <w:pPr>
        <w:pStyle w:val="Normal"/>
        <w:rPr/>
      </w:pPr>
      <w:r>
        <w:rPr/>
        <w:t>A challenge identifies the disputed output or observation, the competing evidence package, the relevant coordinate or external source range, methodology and adapter versions, and the expected material effect. Reconciliation may resolve a source defect, adapter defect, scope error or methodological ambiguity through the dispute process defined in Chapter 28.</w:t>
      </w:r>
    </w:p>
    <w:p>
      <w:pPr>
        <w:pStyle w:val="Heading1"/>
        <w:rPr/>
      </w:pPr>
      <w:bookmarkStart w:id="638" w:name="__RefHeading___Toc9875_2989533693"/>
      <w:bookmarkEnd w:id="638"/>
      <w:r>
        <w:rPr/>
        <w:t>42. Hosted Platform and Public-Service Security Boundary</w:t>
      </w:r>
    </w:p>
    <w:p>
      <w:pPr>
        <w:pStyle w:val="Heading2"/>
        <w:rPr/>
      </w:pPr>
      <w:r>
        <w:rPr/>
        <w:t>42.1 Reference architecture</w:t>
      </w:r>
    </w:p>
    <w:p>
      <w:pPr>
        <w:pStyle w:val="Normal"/>
        <w:rPr/>
      </w:pPr>
      <w:r>
        <w:rPr/>
        <w:t>The hosted Voxonomics platform and independent Vox-in-a-Box nodes share one evidence model. The conceptual production flow is:</w:t>
      </w:r>
    </w:p>
    <w:p>
      <w:pPr>
        <w:pStyle w:val="SourceCode"/>
        <w:rPr/>
      </w:pPr>
      <w:r>
        <w:rPr/>
        <w:t>authoritative sources → Vox collectors / Vox-in-a-Box nodes → evidence stores → canonical measurement → signed publication → read-only public API → dashboard / researchers / users</w:t>
      </w:r>
    </w:p>
    <w:p>
      <w:pPr>
        <w:pStyle w:val="Heading2"/>
        <w:rPr/>
      </w:pPr>
      <w:r>
        <w:rPr/>
        <w:t>42.2 Public read-only boundary</w:t>
      </w:r>
    </w:p>
    <w:p>
      <w:pPr>
        <w:pStyle w:val="Normal"/>
        <w:rPr/>
      </w:pPr>
      <w:r>
        <w:rPr/>
        <w:t>The public API and dashboard are publication surfaces. They must not possess routine authority to mutate canonical source evidence, rewrite collector journals, alter measurement records or change methodology. A compromise of the public web tier should therefore not grant an attacker evidence-write or collector-control authority.</w:t>
      </w:r>
    </w:p>
    <w:p>
      <w:pPr>
        <w:pStyle w:val="Heading2"/>
        <w:rPr/>
      </w:pPr>
      <w:r>
        <w:rPr/>
        <w:t>42.3 Separation of authorities</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Authority</w:t>
            </w:r>
          </w:p>
        </w:tc>
        <w:tc>
          <w:tcPr>
            <w:tcW w:w="4818" w:type="dxa"/>
            <w:tcBorders/>
          </w:tcPr>
          <w:p>
            <w:pPr>
              <w:pStyle w:val="Normal"/>
              <w:widowControl/>
              <w:suppressAutoHyphens w:val="true"/>
              <w:bidi w:val="0"/>
              <w:spacing w:lineRule="auto" w:line="276" w:before="0" w:after="120"/>
              <w:jc w:val="left"/>
              <w:rPr/>
            </w:pPr>
            <w:r>
              <w:rPr>
                <w:b/>
              </w:rPr>
              <w:t>Public API/dashboard</w:t>
            </w:r>
          </w:p>
        </w:tc>
      </w:tr>
      <w:tr>
        <w:trPr/>
        <w:tc>
          <w:tcPr>
            <w:tcW w:w="4819" w:type="dxa"/>
            <w:tcBorders/>
          </w:tcPr>
          <w:p>
            <w:pPr>
              <w:pStyle w:val="Normal"/>
              <w:widowControl/>
              <w:suppressAutoHyphens w:val="true"/>
              <w:bidi w:val="0"/>
              <w:spacing w:lineRule="auto" w:line="276" w:before="0" w:after="120"/>
              <w:jc w:val="left"/>
              <w:rPr/>
            </w:pPr>
            <w:r>
              <w:rPr/>
              <w:t>Read published measurements and evidence metadata</w:t>
            </w:r>
          </w:p>
        </w:tc>
        <w:tc>
          <w:tcPr>
            <w:tcW w:w="4818" w:type="dxa"/>
            <w:tcBorders/>
          </w:tcPr>
          <w:p>
            <w:pPr>
              <w:pStyle w:val="Normal"/>
              <w:widowControl/>
              <w:suppressAutoHyphens w:val="true"/>
              <w:bidi w:val="0"/>
              <w:spacing w:lineRule="auto" w:line="276" w:before="0" w:after="120"/>
              <w:jc w:val="left"/>
              <w:rPr/>
            </w:pPr>
            <w:r>
              <w:rPr/>
              <w:t>Allowed</w:t>
            </w:r>
          </w:p>
        </w:tc>
      </w:tr>
      <w:tr>
        <w:trPr/>
        <w:tc>
          <w:tcPr>
            <w:tcW w:w="4819" w:type="dxa"/>
            <w:tcBorders/>
          </w:tcPr>
          <w:p>
            <w:pPr>
              <w:pStyle w:val="Normal"/>
              <w:widowControl/>
              <w:suppressAutoHyphens w:val="true"/>
              <w:bidi w:val="0"/>
              <w:spacing w:lineRule="auto" w:line="276" w:before="0" w:after="120"/>
              <w:jc w:val="left"/>
              <w:rPr/>
            </w:pPr>
            <w:r>
              <w:rPr/>
              <w:t>Serve public evidence downloads permitted by policy/licence</w:t>
            </w:r>
          </w:p>
        </w:tc>
        <w:tc>
          <w:tcPr>
            <w:tcW w:w="4818" w:type="dxa"/>
            <w:tcBorders/>
          </w:tcPr>
          <w:p>
            <w:pPr>
              <w:pStyle w:val="Normal"/>
              <w:widowControl/>
              <w:suppressAutoHyphens w:val="true"/>
              <w:bidi w:val="0"/>
              <w:spacing w:lineRule="auto" w:line="276" w:before="0" w:after="120"/>
              <w:jc w:val="left"/>
              <w:rPr/>
            </w:pPr>
            <w:r>
              <w:rPr/>
              <w:t>Allowed</w:t>
            </w:r>
          </w:p>
        </w:tc>
      </w:tr>
      <w:tr>
        <w:trPr/>
        <w:tc>
          <w:tcPr>
            <w:tcW w:w="4819" w:type="dxa"/>
            <w:tcBorders/>
          </w:tcPr>
          <w:p>
            <w:pPr>
              <w:pStyle w:val="Normal"/>
              <w:widowControl/>
              <w:suppressAutoHyphens w:val="true"/>
              <w:bidi w:val="0"/>
              <w:spacing w:lineRule="auto" w:line="276" w:before="0" w:after="120"/>
              <w:jc w:val="left"/>
              <w:rPr/>
            </w:pPr>
            <w:r>
              <w:rPr/>
              <w:t>Write collector observations or source evidence</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Mutate sealed canonical evidence</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Change metric definitions or methodology versions</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Access collector/admin credentials</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Hold canonical signing authority by default</w:t>
            </w:r>
          </w:p>
        </w:tc>
        <w:tc>
          <w:tcPr>
            <w:tcW w:w="4818" w:type="dxa"/>
            <w:tcBorders/>
          </w:tcPr>
          <w:p>
            <w:pPr>
              <w:pStyle w:val="Normal"/>
              <w:widowControl/>
              <w:suppressAutoHyphens w:val="true"/>
              <w:bidi w:val="0"/>
              <w:spacing w:lineRule="auto" w:line="276" w:before="0" w:after="120"/>
              <w:jc w:val="left"/>
              <w:rPr/>
            </w:pPr>
            <w:r>
              <w:rPr/>
              <w:t>Not allowed</w:t>
            </w:r>
          </w:p>
        </w:tc>
      </w:tr>
    </w:tbl>
    <w:p>
      <w:pPr>
        <w:pStyle w:val="Heading2"/>
        <w:rPr/>
      </w:pPr>
      <w:r>
        <w:rPr/>
        <w:t>42.4 Credentials, administration and signing</w:t>
      </w:r>
    </w:p>
    <w:p>
      <w:pPr>
        <w:pStyle w:val="Normal"/>
        <w:rPr/>
      </w:pPr>
      <w:r>
        <w:rPr/>
        <w:t>Collector credentials, evidence-store write authority, administration credentials and signing keys are separated from the public service. Signing authority follows the key-management rules in Chapter 33 and may be distributed across independent publishers or threshold arrangements. Public availability does not justify collapsing these roles.</w:t>
      </w:r>
    </w:p>
    <w:p>
      <w:pPr>
        <w:pStyle w:val="Heading2"/>
        <w:rPr/>
      </w:pPr>
      <w:r>
        <w:rPr/>
        <w:t>42.5 Availability and graceful degradation</w:t>
      </w:r>
    </w:p>
    <w:p>
      <w:pPr>
        <w:pStyle w:val="Normal"/>
        <w:rPr/>
      </w:pPr>
      <w:r>
        <w:rPr/>
        <w:t>A public API or dashboard outage does not invalidate preserved evidence or canonical measurements. Conversely, a functioning dashboard is not proof that collectors, evidence custody or reproduction remain healthy. Operational status, evidence status and publication status are distinct and should be reported separately.</w:t>
      </w:r>
    </w:p>
    <w:p>
      <w:pPr>
        <w:pStyle w:val="Heading1"/>
        <w:rPr/>
      </w:pPr>
      <w:bookmarkStart w:id="639" w:name="__RefHeading___Toc9877_2989533693"/>
      <w:bookmarkEnd w:id="639"/>
      <w:r>
        <w:rPr/>
        <w:t>43. AI-Assisted Development Transparency</w:t>
      </w:r>
    </w:p>
    <w:p>
      <w:pPr>
        <w:pStyle w:val="Heading2"/>
        <w:rPr/>
      </w:pPr>
      <w:r>
        <w:rPr/>
        <w:t>43.1 Disclosure</w:t>
      </w:r>
    </w:p>
    <w:p>
      <w:pPr>
        <w:pStyle w:val="Normal"/>
        <w:rPr/>
      </w:pPr>
      <w:r>
        <w:rPr/>
        <w:t>Voxonomics has used AI-assisted tools, including OpenAI ChatGPT and Anthropic Claude, in software engineering, technical analysis, test design, documentation drafting and review. This disclosure is intended to make the development process transparent, not to transfer authority to an AI system.</w:t>
      </w:r>
    </w:p>
    <w:p>
      <w:pPr>
        <w:pStyle w:val="Heading2"/>
        <w:rPr/>
      </w:pPr>
      <w:r>
        <w:rPr/>
        <w:t>43.2 Authority boundaries</w:t>
      </w:r>
    </w:p>
    <w:p>
      <w:pPr>
        <w:pStyle w:val="Normal"/>
        <w:rPr/>
      </w:pPr>
      <w:r>
        <w:rPr/>
        <w:t>AI systems do not hold methodological, governance or publication authority. Canonical definitions, acceptance of changes, release decisions and public claims remain the responsibility of the Voxonomics project and its authorised governance or maintainers. AI-generated suggestions are inputs to review, not self-validating decisions.</w:t>
      </w:r>
    </w:p>
    <w:p>
      <w:pPr>
        <w:pStyle w:val="Heading2"/>
        <w:rPr/>
      </w:pPr>
      <w:r>
        <w:rPr/>
        <w:t>43.3 Audit terminology</w:t>
      </w:r>
    </w:p>
    <w:p>
      <w:pPr>
        <w:pStyle w:val="Normal"/>
        <w:rPr/>
      </w:pPr>
      <w:r>
        <w:rPr/>
        <w:t>AI-assisted internal review must not be represented as an independent third-party audit, certification or external assurance engagement. Where Voxonomics claims independent audit, the auditor, scope, evidence examined, limitations and outcome must be independently identifiable.</w:t>
      </w:r>
    </w:p>
    <w:p>
      <w:pPr>
        <w:pStyle w:val="Heading2"/>
        <w:rPr/>
      </w:pPr>
      <w:r>
        <w:rPr/>
        <w:t>43.4 Reproducibility over authority</w:t>
      </w:r>
    </w:p>
    <w:p>
      <w:pPr>
        <w:pStyle w:val="Normal"/>
        <w:rPr/>
      </w:pPr>
      <w:r>
        <w:rPr/>
        <w:t>The framework does not ask users to trust an AI system, a developer or a node operator because of identity alone. Evidence, versioned code, deterministic calculations, signed manifests and reproducible outputs remain the basis for verification.</w:t>
      </w:r>
    </w:p>
    <w:p>
      <w:pPr>
        <w:pStyle w:val="PartTitle"/>
        <w:rPr/>
      </w:pPr>
      <w:bookmarkStart w:id="640" w:name="__RefHeading___Toc9879_2989533693"/>
      <w:bookmarkEnd w:id="640"/>
      <w:r>
        <w:rPr/>
        <w:t>Part X — Conclusion</w:t>
      </w:r>
    </w:p>
    <w:p>
      <w:pPr>
        <w:pStyle w:val="Heading1"/>
        <w:keepNext w:val="true"/>
        <w:keepLines/>
        <w:widowControl/>
        <w:pBdr>
          <w:bottom w:val="single" w:sz="6" w:space="5" w:color="8AB2BF"/>
        </w:pBdr>
        <w:jc w:val="left"/>
        <w:rPr/>
      </w:pPr>
      <w:bookmarkStart w:id="641" w:name="__RefHeading___Toc9881_2989533693"/>
      <w:bookmarkEnd w:id="641"/>
      <w:r>
        <w:rPr/>
        <w:t>44. Conclusion</w:t>
      </w:r>
    </w:p>
    <w:p>
      <w:pPr>
        <w:pStyle w:val="Normal"/>
        <w:rPr/>
      </w:pPr>
      <w:r>
        <w:rPr/>
        <w:t xml:space="preserve">Blockchains created verifiable digital state but not a universal economic language. Their markets developed around price, supply, narratives and fragmented indicators. Those signals are useful, yet they do not answer a deeper question: </w:t>
      </w:r>
      <w:r>
        <w:rPr>
          <w:b/>
          <w:bCs/>
        </w:rPr>
        <w:t>How well does a network function as an economy?</w:t>
      </w:r>
    </w:p>
    <w:p>
      <w:pPr>
        <w:pStyle w:val="BodyText"/>
        <w:widowControl/>
        <w:rPr/>
      </w:pPr>
      <w:r>
        <w:rPr/>
        <w:t>Voxonomics answers that question through six equal pillars. Proof of Value measures economic output and sustainable value capture. OPI measures productive participation. DLI measures usable and resilient liquidity. PII measures security, decentralisation and operational integrity. RWAI measures verifiable connection to the wider economy. ERI measures the ability to retain function and recover through stress.</w:t>
      </w:r>
    </w:p>
    <w:p>
      <w:pPr>
        <w:pStyle w:val="BodyText"/>
        <w:widowControl/>
        <w:rPr/>
      </w:pPr>
      <w:r>
        <w:rPr/>
        <w:t>Together they form VTS, standardised against the Economic Reference Unit. VRI then measures market recognition. The Opportunity Gap shows divergence between fundamentals and recognition. VRS makes structural risk explicit. VCS shows how much confidence the evidence deserves.</w:t>
      </w:r>
    </w:p>
    <w:p>
      <w:pPr>
        <w:pStyle w:val="BodyText"/>
        <w:widowControl/>
        <w:rPr/>
      </w:pPr>
      <w:r>
        <w:rPr/>
        <w:t>This architecture resolves an important category error: market price is not intrinsic measurement, and intrinsic measurement is not a guaranteed price. The optional VOX and V-FOREX layers are therefore separated from the measurement engine. A network can be studied without permission and without token issuance. A future economic implementation must earn activation through evidence, audits, governance and market safety.</w:t>
      </w:r>
    </w:p>
    <w:p>
      <w:pPr>
        <w:pStyle w:val="BodyText"/>
        <w:widowControl/>
        <w:rPr/>
      </w:pPr>
      <w:r>
        <w:rPr/>
        <w:t>Voxonomics also rejects false neutrality. It does not fill missing data with arbitrary average scores. It does not force proof-of-work, proof-of-stake and rollup networks into identical raw fields. It does not describe model outputs as unquestionable truth. Instead, it standardises economic definitions, publishes architecture-specific adapters, exposes uncertainty and preserves every methodology version.</w:t>
      </w:r>
    </w:p>
    <w:p>
      <w:pPr>
        <w:pStyle w:val="BodyText"/>
        <w:rPr/>
      </w:pPr>
      <w:r>
        <w:rPr/>
        <w:t>Edition 3.2 extends the same discipline to evidence custody. Canonical values must remain connected to the evidence that produced them; storage optimisation cannot silently sever that connection. Vox-in-a-Box nodes can distribute collection, preservation, reproduction and publication resilience while the methodology remains one governed standard. The result is a framework designed not only to calculate economic measurements, but to show why those measurements should be believed—or when they should be withheld.</w:t>
      </w:r>
    </w:p>
    <w:p>
      <w:pPr>
        <w:pStyle w:val="BodyText"/>
        <w:widowControl/>
        <w:rPr/>
      </w:pPr>
      <w:r>
        <w:rPr/>
        <w:t>The framework is ambitious because the problem is large. Digital economies need a common reference that is open, comparable and resistant to capture. That reference cannot depend on one company, one chain, one data provider or one market narrative. It must be governed as a public standard and remain reproducible by anyone.</w:t>
      </w:r>
    </w:p>
    <w:p>
      <w:pPr>
        <w:pStyle w:val="BodyText"/>
        <w:widowControl/>
        <w:rPr/>
      </w:pPr>
      <w:r>
        <w:rPr/>
        <w:t xml:space="preserve">Voxonomics carries its name with intent. </w:t>
      </w:r>
      <w:r>
        <w:rPr>
          <w:i/>
          <w:iCs/>
        </w:rPr>
        <w:t>Vox</w:t>
      </w:r>
      <w:r>
        <w:rPr/>
        <w:t xml:space="preserve"> is Latin for voice. The project’s purpose is to give public economic evidence a voice strong enough to be heard above speculation, opacity and selective measurement.</w:t>
      </w:r>
    </w:p>
    <w:p>
      <w:pPr>
        <w:pStyle w:val="Normal"/>
        <w:rPr/>
      </w:pPr>
      <w:bookmarkStart w:id="642" w:name="conclusion"/>
      <w:r>
        <w:rPr>
          <w:b/>
          <w:bCs/>
        </w:rPr>
        <w:t>Value should reflect verifiable economic reality. Trust should be earned through evidence. The standard itself should remain accountable to the people who can verify it.</w:t>
      </w:r>
      <w:bookmarkEnd w:id="642"/>
    </w:p>
    <w:p>
      <w:pPr>
        <w:pStyle w:val="PartTitle"/>
        <w:rPr/>
      </w:pPr>
      <w:bookmarkStart w:id="643" w:name="__RefHeading___Toc11397_1706184067"/>
      <w:bookmarkEnd w:id="643"/>
      <w:r>
        <w:rPr/>
        <w:t>Appendices</w:t>
      </w:r>
    </w:p>
    <w:p>
      <w:pPr>
        <w:pStyle w:val="Heading1"/>
        <w:keepNext w:val="true"/>
        <w:keepLines/>
        <w:widowControl/>
        <w:pBdr>
          <w:bottom w:val="single" w:sz="6" w:space="5" w:color="8AB2BF"/>
        </w:pBdr>
        <w:jc w:val="left"/>
        <w:rPr/>
      </w:pPr>
      <w:bookmarkStart w:id="644" w:name="__RefHeading___Toc8805_528838595"/>
      <w:bookmarkEnd w:id="644"/>
      <w:r>
        <w:rPr/>
        <w:t>Appendix A — Mathematical Specification</w:t>
      </w:r>
    </w:p>
    <w:p>
      <w:pPr>
        <w:pStyle w:val="Heading2"/>
        <w:keepNext w:val="true"/>
        <w:keepLines/>
        <w:widowControl/>
        <w:rPr/>
      </w:pPr>
      <w:bookmarkStart w:id="645" w:name="__RefHeading___Toc8807_528838595"/>
      <w:bookmarkEnd w:id="645"/>
      <w:r>
        <w:rPr/>
        <w:t>A.1 Notation</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Symbol</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Definition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x</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observation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T(x)</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Metric-specific transformation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L, U</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Lower and upper benchmark anchors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s_jk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Normalised sub-index score from 0 to 100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w_jk</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 xml:space="preserve">Weight of sub-index </w:t>
            </w:r>
            <w:r>
              <w:rPr/>
            </w:r>
            <m:oMath xmlns:m="http://schemas.openxmlformats.org/officeDocument/2006/math">
              <m:r>
                <w:rPr>
                  <w:rFonts w:ascii="Cambria Math" w:hAnsi="Cambria Math"/>
                </w:rPr>
                <m:t xml:space="preserve">k</m:t>
              </m:r>
            </m:oMath>
            <w:r>
              <w:rPr>
                <w:rFonts w:cs=""/>
                <w:color w:val="232B31"/>
                <w:kern w:val="0"/>
                <w:sz w:val="16"/>
                <w:szCs w:val="22"/>
                <w:lang w:val="en-GB" w:eastAsia="en-US" w:bidi="ar-SA"/>
              </w:rPr>
              <w:t xml:space="preserve"> in parent index </w:t>
            </w:r>
            <w:r>
              <w:rPr/>
            </w:r>
            <m:oMath xmlns:m="http://schemas.openxmlformats.org/officeDocument/2006/math">
              <m:r>
                <w:rPr>
                  <w:rFonts w:ascii="Cambria Math" w:hAnsi="Cambria Math"/>
                </w:rPr>
                <m:t xml:space="preserve">j</m:t>
              </m:r>
            </m:oMath>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VTS_core</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equal-weight composite from 0 to 1</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ERU_core</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Dynamic reference benchmark in raw-score units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VTS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Standardised Value Transfer Score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VRI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Standardised Value Recognition Index</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VRS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Risk Score from 0 to 100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VCS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Confidence Score from 0 to 100</w:t>
            </w:r>
            <w:bookmarkStart w:id="646" w:name="a.1-notation"/>
            <w:bookmarkEnd w:id="646"/>
          </w:p>
        </w:tc>
      </w:tr>
    </w:tbl>
    <w:p>
      <w:pPr>
        <w:pStyle w:val="Heading2"/>
        <w:keepNext w:val="true"/>
        <w:keepLines/>
        <w:widowControl/>
        <w:rPr/>
      </w:pPr>
      <w:bookmarkStart w:id="647" w:name="__RefHeading___Toc8809_528838595"/>
      <w:bookmarkEnd w:id="647"/>
      <w:r>
        <w:rPr/>
        <w:t>A.2 Clipping function</w:t>
      </w:r>
    </w:p>
    <w:p>
      <w:pPr>
        <w:pStyle w:val="Normal"/>
        <w:keepLines/>
        <w:spacing w:before="80" w:after="160"/>
        <w:jc w:val="center"/>
        <w:rPr/>
      </w:pPr>
      <w:r>
        <w:rPr/>
        <w:drawing>
          <wp:inline distT="0" distB="0" distL="0" distR="0">
            <wp:extent cx="3126740" cy="310515"/>
            <wp:effectExtent l="0" t="0" r="0" b="0"/>
            <wp:docPr id="47" name="Picture 47" descr="Equation&#10;\mathrm{clip}(z,a,b)=\min\!\left(\max(z,a),b\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Equation&#10;\mathrm{clip}(z,a,b)=\min\!\left(\max(z,a),b\right)"/>
                    <pic:cNvPicPr>
                      <a:picLocks noChangeAspect="1" noChangeArrowheads="1"/>
                    </pic:cNvPicPr>
                  </pic:nvPicPr>
                  <pic:blipFill>
                    <a:blip r:embed="rId48"/>
                    <a:stretch>
                      <a:fillRect/>
                    </a:stretch>
                  </pic:blipFill>
                  <pic:spPr bwMode="auto">
                    <a:xfrm>
                      <a:off x="0" y="0"/>
                      <a:ext cx="3126740" cy="310515"/>
                    </a:xfrm>
                    <a:prstGeom prst="rect">
                      <a:avLst/>
                    </a:prstGeom>
                    <a:noFill/>
                  </pic:spPr>
                </pic:pic>
              </a:graphicData>
            </a:graphic>
          </wp:inline>
        </w:drawing>
      </w:r>
    </w:p>
    <w:p>
      <w:pPr>
        <w:pStyle w:val="Heading2"/>
        <w:keepNext w:val="true"/>
        <w:keepLines/>
        <w:widowControl/>
        <w:rPr/>
      </w:pPr>
      <w:bookmarkStart w:id="648" w:name="__RefHeading___Toc8811_528838595"/>
      <w:bookmarkEnd w:id="648"/>
      <w:r>
        <w:rPr/>
        <w:t>A.3 Positive-direction normalisation</w:t>
      </w:r>
    </w:p>
    <w:p>
      <w:pPr>
        <w:pStyle w:val="Normal"/>
        <w:keepLines/>
        <w:spacing w:before="80" w:after="160"/>
        <w:jc w:val="center"/>
        <w:rPr/>
      </w:pPr>
      <w:r>
        <w:rPr/>
        <w:drawing>
          <wp:inline distT="0" distB="0" distL="0" distR="0">
            <wp:extent cx="3427730" cy="454025"/>
            <wp:effectExtent l="0" t="0" r="0" b="0"/>
            <wp:docPr id="48" name="Picture 48" descr="Equation&#10;\mathrm{Score}^{+}(x)=100\,\mathrm{clip}\!\left(\frac{T(x)-L}{U-L},\,0,\,1\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Equation&#10;\mathrm{Score}^{+}(x)=100\,\mathrm{clip}\!\left(\frac{T(x)-L}{U-L},\,0,\,1\right)"/>
                    <pic:cNvPicPr>
                      <a:picLocks noChangeAspect="1" noChangeArrowheads="1"/>
                    </pic:cNvPicPr>
                  </pic:nvPicPr>
                  <pic:blipFill>
                    <a:blip r:embed="rId49"/>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649" w:name="__RefHeading___Toc8813_528838595"/>
      <w:bookmarkEnd w:id="649"/>
      <w:r>
        <w:rPr/>
        <w:t>A.4 Negative-direction normalisation</w:t>
      </w:r>
    </w:p>
    <w:p>
      <w:pPr>
        <w:pStyle w:val="Normal"/>
        <w:keepLines/>
        <w:spacing w:before="80" w:after="160"/>
        <w:jc w:val="center"/>
        <w:rPr/>
      </w:pPr>
      <w:r>
        <w:rPr/>
        <w:drawing>
          <wp:inline distT="0" distB="0" distL="0" distR="0">
            <wp:extent cx="3949700" cy="461010"/>
            <wp:effectExtent l="0" t="0" r="0" b="0"/>
            <wp:docPr id="49" name="Picture 49" descr="Equation&#10;\mathrm{Score}^{-}(x)=100\left[1-\mathrm{clip}\!\left(\frac{T(x)-L}{U-L},\,0,\,1\righ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quation&#10;\mathrm{Score}^{-}(x)=100\left[1-\mathrm{clip}\!\left(\frac{T(x)-L}{U-L},\,0,\,1\right)\right]"/>
                    <pic:cNvPicPr>
                      <a:picLocks noChangeAspect="1" noChangeArrowheads="1"/>
                    </pic:cNvPicPr>
                  </pic:nvPicPr>
                  <pic:blipFill>
                    <a:blip r:embed="rId50"/>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650" w:name="__RefHeading___Toc8815_528838595"/>
      <w:bookmarkEnd w:id="650"/>
      <w:r>
        <w:rPr/>
        <w:t>A.5 Log transformation</w:t>
      </w:r>
    </w:p>
    <w:p>
      <w:pPr>
        <w:pStyle w:val="Normal"/>
        <w:keepLines/>
        <w:spacing w:before="80" w:after="160"/>
        <w:jc w:val="center"/>
        <w:rPr/>
      </w:pPr>
      <w:r>
        <w:rPr/>
        <w:drawing>
          <wp:inline distT="0" distB="0" distL="0" distR="0">
            <wp:extent cx="1692910" cy="310515"/>
            <wp:effectExtent l="0" t="0" r="0" b="0"/>
            <wp:docPr id="50" name="Picture 50" descr="Equation&#10;T(x)=\log(1+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Equation&#10;T(x)=\log(1+x)"/>
                    <pic:cNvPicPr>
                      <a:picLocks noChangeAspect="1" noChangeArrowheads="1"/>
                    </pic:cNvPicPr>
                  </pic:nvPicPr>
                  <pic:blipFill>
                    <a:blip r:embed="rId51"/>
                    <a:stretch>
                      <a:fillRect/>
                    </a:stretch>
                  </pic:blipFill>
                  <pic:spPr bwMode="auto">
                    <a:xfrm>
                      <a:off x="0" y="0"/>
                      <a:ext cx="1692910" cy="310515"/>
                    </a:xfrm>
                    <a:prstGeom prst="rect">
                      <a:avLst/>
                    </a:prstGeom>
                    <a:noFill/>
                  </pic:spPr>
                </pic:pic>
              </a:graphicData>
            </a:graphic>
          </wp:inline>
        </w:drawing>
      </w:r>
    </w:p>
    <w:p>
      <w:pPr>
        <w:pStyle w:val="Normal"/>
        <w:rPr/>
      </w:pPr>
      <w:bookmarkStart w:id="651" w:name="a.5-log-transformation"/>
      <w:r>
        <w:rPr/>
        <w:t>The logarithm base must be consistent within a metric version. Because benchmark anchors use the same transformation, the base does not change ordinal results but may affect numerical calibration.</w:t>
      </w:r>
      <w:bookmarkEnd w:id="651"/>
    </w:p>
    <w:p>
      <w:pPr>
        <w:pStyle w:val="Heading2"/>
        <w:keepNext w:val="true"/>
        <w:keepLines/>
        <w:widowControl/>
        <w:rPr/>
      </w:pPr>
      <w:bookmarkStart w:id="652" w:name="__RefHeading___Toc8817_528838595"/>
      <w:bookmarkEnd w:id="652"/>
      <w:r>
        <w:rPr/>
        <w:t>A.6 Exponentially weighted smoothing</w:t>
      </w:r>
    </w:p>
    <w:p>
      <w:pPr>
        <w:pStyle w:val="Normal"/>
        <w:keepLines/>
        <w:spacing w:before="80" w:after="160"/>
        <w:jc w:val="center"/>
        <w:rPr/>
      </w:pPr>
      <w:r>
        <w:rPr/>
        <w:drawing>
          <wp:inline distT="0" distB="0" distL="0" distR="0">
            <wp:extent cx="2208530" cy="290195"/>
            <wp:effectExtent l="0" t="0" r="0" b="0"/>
            <wp:docPr id="51" name="Picture 51" descr="Equation&#10;S_t=\alpha X_t+(1-\alpha)S_{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quation&#10;S_t=\alpha X_t+(1-\alpha)S_{t-1}"/>
                    <pic:cNvPicPr>
                      <a:picLocks noChangeAspect="1" noChangeArrowheads="1"/>
                    </pic:cNvPicPr>
                  </pic:nvPicPr>
                  <pic:blipFill>
                    <a:blip r:embed="rId52"/>
                    <a:stretch>
                      <a:fillRect/>
                    </a:stretch>
                  </pic:blipFill>
                  <pic:spPr bwMode="auto">
                    <a:xfrm>
                      <a:off x="0" y="0"/>
                      <a:ext cx="2208530" cy="290195"/>
                    </a:xfrm>
                    <a:prstGeom prst="rect">
                      <a:avLst/>
                    </a:prstGeom>
                    <a:noFill/>
                  </pic:spPr>
                </pic:pic>
              </a:graphicData>
            </a:graphic>
          </wp:inline>
        </w:drawing>
      </w:r>
    </w:p>
    <w:p>
      <w:pPr>
        <w:pStyle w:val="Normal"/>
        <w:keepLines/>
        <w:spacing w:before="80" w:after="160"/>
        <w:jc w:val="center"/>
        <w:rPr/>
      </w:pPr>
      <w:r>
        <w:rPr/>
        <w:drawing>
          <wp:inline distT="0" distB="0" distL="0" distR="0">
            <wp:extent cx="1508760" cy="835025"/>
            <wp:effectExtent l="0" t="0" r="0" b="0"/>
            <wp:docPr id="52" name="Picture 52" descr="Equation&#10;\alpha=\frac{2}{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Equation&#10;\alpha=\frac{2}{n+1}"/>
                    <pic:cNvPicPr>
                      <a:picLocks noChangeAspect="1" noChangeArrowheads="1"/>
                    </pic:cNvPicPr>
                  </pic:nvPicPr>
                  <pic:blipFill>
                    <a:blip r:embed="rId53"/>
                    <a:stretch>
                      <a:fillRect/>
                    </a:stretch>
                  </pic:blipFill>
                  <pic:spPr bwMode="auto">
                    <a:xfrm>
                      <a:off x="0" y="0"/>
                      <a:ext cx="1508760" cy="835025"/>
                    </a:xfrm>
                    <a:prstGeom prst="rect">
                      <a:avLst/>
                    </a:prstGeom>
                    <a:noFill/>
                  </pic:spPr>
                </pic:pic>
              </a:graphicData>
            </a:graphic>
          </wp:inline>
        </w:drawing>
      </w:r>
    </w:p>
    <w:p>
      <w:pPr>
        <w:pStyle w:val="Heading2"/>
        <w:keepNext w:val="true"/>
        <w:keepLines/>
        <w:widowControl/>
        <w:rPr/>
      </w:pPr>
      <w:bookmarkStart w:id="653" w:name="__RefHeading___Toc8819_528838595"/>
      <w:bookmarkEnd w:id="653"/>
      <w:r>
        <w:rPr/>
        <w:t>A.7 Parent-index aggregation</w:t>
      </w:r>
    </w:p>
    <w:p>
      <w:pPr>
        <w:pStyle w:val="Normal"/>
        <w:keepLines/>
        <w:spacing w:before="80" w:after="160"/>
        <w:jc w:val="center"/>
        <w:rPr/>
      </w:pPr>
      <w:r>
        <w:rPr/>
        <w:drawing>
          <wp:inline distT="0" distB="0" distL="0" distR="0">
            <wp:extent cx="3324860" cy="768350"/>
            <wp:effectExtent l="0" t="0" r="0" b="0"/>
            <wp:docPr id="53" name="Picture 53" descr="Equation&#10;Index_j=\sum_{k=1}^{m_j}w_{jk}s_{jk},\qquad \sum_{k=1}^{m_j}w_{j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Equation&#10;Index_j=\sum_{k=1}^{m_j}w_{jk}s_{jk},\qquad \sum_{k=1}^{m_j}w_{jk}=1"/>
                    <pic:cNvPicPr>
                      <a:picLocks noChangeAspect="1" noChangeArrowheads="1"/>
                    </pic:cNvPicPr>
                  </pic:nvPicPr>
                  <pic:blipFill>
                    <a:blip r:embed="rId54"/>
                    <a:stretch>
                      <a:fillRect/>
                    </a:stretch>
                  </pic:blipFill>
                  <pic:spPr bwMode="auto">
                    <a:xfrm>
                      <a:off x="0" y="0"/>
                      <a:ext cx="3324860" cy="768350"/>
                    </a:xfrm>
                    <a:prstGeom prst="rect">
                      <a:avLst/>
                    </a:prstGeom>
                    <a:noFill/>
                  </pic:spPr>
                </pic:pic>
              </a:graphicData>
            </a:graphic>
          </wp:inline>
        </w:drawing>
      </w:r>
    </w:p>
    <w:p>
      <w:pPr>
        <w:pStyle w:val="Heading2"/>
        <w:keepNext w:val="true"/>
        <w:keepLines/>
        <w:widowControl/>
        <w:rPr/>
      </w:pPr>
      <w:bookmarkStart w:id="654" w:name="__RefHeading___Toc8821_528838595"/>
      <w:bookmarkEnd w:id="654"/>
      <w:r>
        <w:rPr/>
        <w:t>A.8 Core VTS</w:t>
      </w:r>
    </w:p>
    <w:p>
      <w:pPr>
        <w:pStyle w:val="Normal"/>
        <w:keepLines/>
        <w:spacing w:before="80" w:after="160"/>
        <w:jc w:val="center"/>
        <w:rPr/>
      </w:pPr>
      <w:r>
        <w:rPr/>
        <w:drawing>
          <wp:inline distT="0" distB="0" distL="0" distR="0">
            <wp:extent cx="3789045" cy="429895"/>
            <wp:effectExtent l="0" t="0" r="0" b="0"/>
            <wp:docPr id="54" name="Picture 54"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Equation&#10;VTS_{\mathrm{core}}=\frac{PoV+OPI+DLI+PII+RWAI+ERI}{600}"/>
                    <pic:cNvPicPr>
                      <a:picLocks noChangeAspect="1" noChangeArrowheads="1"/>
                    </pic:cNvPicPr>
                  </pic:nvPicPr>
                  <pic:blipFill>
                    <a:blip r:embed="rId55"/>
                    <a:stretch>
                      <a:fillRect/>
                    </a:stretch>
                  </pic:blipFill>
                  <pic:spPr bwMode="auto">
                    <a:xfrm>
                      <a:off x="0" y="0"/>
                      <a:ext cx="3789045" cy="429895"/>
                    </a:xfrm>
                    <a:prstGeom prst="rect">
                      <a:avLst/>
                    </a:prstGeom>
                    <a:noFill/>
                  </pic:spPr>
                </pic:pic>
              </a:graphicData>
            </a:graphic>
          </wp:inline>
        </w:drawing>
      </w:r>
    </w:p>
    <w:p>
      <w:pPr>
        <w:pStyle w:val="Heading2"/>
        <w:keepNext w:val="true"/>
        <w:keepLines/>
        <w:widowControl/>
        <w:rPr/>
      </w:pPr>
      <w:bookmarkStart w:id="655" w:name="__RefHeading___Toc8823_528838595"/>
      <w:bookmarkEnd w:id="655"/>
      <w:r>
        <w:rPr/>
        <w:t>A.9 Economic Reference Unit</w:t>
      </w:r>
    </w:p>
    <w:p>
      <w:pPr>
        <w:pStyle w:val="Normal"/>
        <w:keepLines/>
        <w:spacing w:before="80" w:after="160"/>
        <w:jc w:val="center"/>
        <w:rPr/>
      </w:pPr>
      <w:r>
        <w:rPr/>
        <w:drawing>
          <wp:inline distT="0" distB="0" distL="0" distR="0">
            <wp:extent cx="4530090" cy="692785"/>
            <wp:effectExtent l="0" t="0" r="0" b="0"/>
            <wp:docPr id="55" name="Picture 55" descr="Equation&#10;ERU_{\mathrm{core}}(t)=\mathrm{TWMA}_{90}\!\left(\underset{i\in\mathcal{Q}_t}{\mathrm{median}}\;VTS_{\mathrm{core},i}(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quation&#10;ERU_{\mathrm{core}}(t)=\mathrm{TWMA}_{90}\!\left(\underset{i\in\mathcal{Q}_t}{\mathrm{median}}\;VTS_{\mathrm{core},i}(t)\right)"/>
                    <pic:cNvPicPr>
                      <a:picLocks noChangeAspect="1" noChangeArrowheads="1"/>
                    </pic:cNvPicPr>
                  </pic:nvPicPr>
                  <pic:blipFill>
                    <a:blip r:embed="rId56"/>
                    <a:stretch>
                      <a:fillRect/>
                    </a:stretch>
                  </pic:blipFill>
                  <pic:spPr bwMode="auto">
                    <a:xfrm>
                      <a:off x="0" y="0"/>
                      <a:ext cx="4530090" cy="692785"/>
                    </a:xfrm>
                    <a:prstGeom prst="rect">
                      <a:avLst/>
                    </a:prstGeom>
                    <a:noFill/>
                  </pic:spPr>
                </pic:pic>
              </a:graphicData>
            </a:graphic>
          </wp:inline>
        </w:drawing>
      </w:r>
    </w:p>
    <w:p>
      <w:pPr>
        <w:pStyle w:val="Normal"/>
        <w:keepLines/>
        <w:spacing w:before="80" w:after="160"/>
        <w:jc w:val="center"/>
        <w:rPr/>
      </w:pPr>
      <w:r>
        <w:rPr/>
        <w:drawing>
          <wp:inline distT="0" distB="0" distL="0" distR="0">
            <wp:extent cx="1795780" cy="508635"/>
            <wp:effectExtent l="0" t="0" r="0" b="0"/>
            <wp:docPr id="56" name="Picture 56" descr="Equation&#10;VTS_i(t)=\frac{VTS_{\mathrm{core},i}(t)}{ERU_{\mathrm{co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quation&#10;VTS_i(t)=\frac{VTS_{\mathrm{core},i}(t)}{ERU_{\mathrm{core}}(t)}"/>
                    <pic:cNvPicPr>
                      <a:picLocks noChangeAspect="1" noChangeArrowheads="1"/>
                    </pic:cNvPicPr>
                  </pic:nvPicPr>
                  <pic:blipFill>
                    <a:blip r:embed="rId57"/>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656" w:name="__RefHeading___Toc8825_528838595"/>
      <w:bookmarkEnd w:id="656"/>
      <w:r>
        <w:rPr/>
        <w:t>A.10 Opportunity Gap</w:t>
      </w:r>
    </w:p>
    <w:p>
      <w:pPr>
        <w:pStyle w:val="Normal"/>
        <w:keepLines/>
        <w:spacing w:before="80" w:after="160"/>
        <w:jc w:val="center"/>
        <w:rPr/>
      </w:pPr>
      <w:r>
        <w:rPr/>
        <w:drawing>
          <wp:inline distT="0" distB="0" distL="0" distR="0">
            <wp:extent cx="3308350" cy="303530"/>
            <wp:effectExtent l="0" t="0" r="0" b="0"/>
            <wp:docPr id="57" name="Picture 57" descr="Equation&#10;\mathrm{Opportunity\ Gap}_i=VTS_i-VRI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Equation&#10;\mathrm{Opportunity\ Gap}_i=VTS_i-VRI_i"/>
                    <pic:cNvPicPr>
                      <a:picLocks noChangeAspect="1" noChangeArrowheads="1"/>
                    </pic:cNvPicPr>
                  </pic:nvPicPr>
                  <pic:blipFill>
                    <a:blip r:embed="rId58"/>
                    <a:stretch>
                      <a:fillRect/>
                    </a:stretch>
                  </pic:blipFill>
                  <pic:spPr bwMode="auto">
                    <a:xfrm>
                      <a:off x="0" y="0"/>
                      <a:ext cx="3308350" cy="303530"/>
                    </a:xfrm>
                    <a:prstGeom prst="rect">
                      <a:avLst/>
                    </a:prstGeom>
                    <a:noFill/>
                  </pic:spPr>
                </pic:pic>
              </a:graphicData>
            </a:graphic>
          </wp:inline>
        </w:drawing>
      </w:r>
    </w:p>
    <w:p>
      <w:pPr>
        <w:pStyle w:val="Heading2"/>
        <w:keepNext w:val="true"/>
        <w:keepLines/>
        <w:widowControl/>
        <w:rPr/>
      </w:pPr>
      <w:bookmarkStart w:id="657" w:name="__RefHeading___Toc8827_528838595"/>
      <w:bookmarkEnd w:id="657"/>
      <w:r>
        <w:rPr/>
        <w:t>A.11 V-FOREX reference ratio</w:t>
      </w:r>
    </w:p>
    <w:p>
      <w:pPr>
        <w:pStyle w:val="Normal"/>
        <w:keepLines/>
        <w:spacing w:before="80" w:after="160"/>
        <w:jc w:val="center"/>
        <w:rPr/>
      </w:pPr>
      <w:r>
        <w:rPr/>
        <w:drawing>
          <wp:inline distT="0" distB="0" distL="0" distR="0">
            <wp:extent cx="1508760" cy="513080"/>
            <wp:effectExtent l="0" t="0" r="0" b="0"/>
            <wp:docPr id="58" name="Picture 58" descr="Equation&#10;R_{\mathrm{ref}}\!\left(\frac{A}{B}\right)=\frac{VTS_A}{VT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Equation&#10;R_{\mathrm{ref}}\!\left(\frac{A}{B}\right)=\frac{VTS_A}{VTS_B}"/>
                    <pic:cNvPicPr>
                      <a:picLocks noChangeAspect="1" noChangeArrowheads="1"/>
                    </pic:cNvPicPr>
                  </pic:nvPicPr>
                  <pic:blipFill>
                    <a:blip r:embed="rId59"/>
                    <a:stretch>
                      <a:fillRect/>
                    </a:stretch>
                  </pic:blipFill>
                  <pic:spPr bwMode="auto">
                    <a:xfrm>
                      <a:off x="0" y="0"/>
                      <a:ext cx="1508760" cy="513080"/>
                    </a:xfrm>
                    <a:prstGeom prst="rect">
                      <a:avLst/>
                    </a:prstGeom>
                    <a:noFill/>
                  </pic:spPr>
                </pic:pic>
              </a:graphicData>
            </a:graphic>
          </wp:inline>
        </w:drawing>
      </w:r>
    </w:p>
    <w:p>
      <w:pPr>
        <w:pStyle w:val="Normal"/>
        <w:keepLines/>
        <w:spacing w:before="80" w:after="160"/>
        <w:jc w:val="center"/>
        <w:rPr/>
      </w:pPr>
      <w:r>
        <w:rPr/>
        <w:drawing>
          <wp:inline distT="0" distB="0" distL="0" distR="0">
            <wp:extent cx="3785870" cy="498475"/>
            <wp:effectExtent l="0" t="0" r="0" b="0"/>
            <wp:docPr id="59" name="Picture 59" descr="Equation&#10;\mathrm{Premium/Discount}_{A/B}=\frac{R_{\mathrm{market}}(A/B)}{R_{\mathrm{ref}}(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Equation&#10;\mathrm{Premium/Discount}_{A/B}=\frac{R_{\mathrm{market}}(A/B)}{R_{\mathrm{ref}}(A/B)}-1"/>
                    <pic:cNvPicPr>
                      <a:picLocks noChangeAspect="1" noChangeArrowheads="1"/>
                    </pic:cNvPicPr>
                  </pic:nvPicPr>
                  <pic:blipFill>
                    <a:blip r:embed="rId60"/>
                    <a:stretch>
                      <a:fillRect/>
                    </a:stretch>
                  </pic:blipFill>
                  <pic:spPr bwMode="auto">
                    <a:xfrm>
                      <a:off x="0" y="0"/>
                      <a:ext cx="3785870" cy="498475"/>
                    </a:xfrm>
                    <a:prstGeom prst="rect">
                      <a:avLst/>
                    </a:prstGeom>
                    <a:noFill/>
                  </pic:spPr>
                </pic:pic>
              </a:graphicData>
            </a:graphic>
          </wp:inline>
        </w:drawing>
      </w:r>
    </w:p>
    <w:p>
      <w:pPr>
        <w:pStyle w:val="Heading2"/>
        <w:keepNext w:val="true"/>
        <w:keepLines/>
        <w:widowControl/>
        <w:rPr/>
      </w:pPr>
      <w:bookmarkStart w:id="658" w:name="__RefHeading___Toc8829_528838595"/>
      <w:bookmarkEnd w:id="658"/>
      <w:r>
        <w:rPr/>
        <w:t>A.12 Optional indexed supply</w:t>
      </w:r>
    </w:p>
    <w:p>
      <w:pPr>
        <w:pStyle w:val="Normal"/>
        <w:keepLines/>
        <w:spacing w:before="80" w:after="160"/>
        <w:jc w:val="center"/>
        <w:rPr/>
      </w:pPr>
      <w:r>
        <w:rPr/>
        <w:drawing>
          <wp:inline distT="0" distB="0" distL="0" distR="0">
            <wp:extent cx="3594735" cy="327660"/>
            <wp:effectExtent l="0" t="0" r="0" b="0"/>
            <wp:docPr id="60" name="Picture 60" descr="Equation&#10;S_{\mathrm{target},t}=C_{\mathrm{ref}}\,\mathrm{clip}\!\left(VTS_t^{\kappa},\,g_{\min},\,g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Equation&#10;S_{\mathrm{target},t}=C_{\mathrm{ref}}\,\mathrm{clip}\!\left(VTS_t^{\kappa},\,g_{\min},\,g_{\max}\right)"/>
                    <pic:cNvPicPr>
                      <a:picLocks noChangeAspect="1" noChangeArrowheads="1"/>
                    </pic:cNvPicPr>
                  </pic:nvPicPr>
                  <pic:blipFill>
                    <a:blip r:embed="rId61"/>
                    <a:stretch>
                      <a:fillRect/>
                    </a:stretch>
                  </pic:blipFill>
                  <pic:spPr bwMode="auto">
                    <a:xfrm>
                      <a:off x="0" y="0"/>
                      <a:ext cx="3594735" cy="327660"/>
                    </a:xfrm>
                    <a:prstGeom prst="rect">
                      <a:avLst/>
                    </a:prstGeom>
                    <a:noFill/>
                  </pic:spPr>
                </pic:pic>
              </a:graphicData>
            </a:graphic>
          </wp:inline>
        </w:drawing>
      </w:r>
    </w:p>
    <w:p>
      <w:pPr>
        <w:pStyle w:val="Normal"/>
        <w:keepLines/>
        <w:spacing w:before="80" w:after="160"/>
        <w:jc w:val="center"/>
        <w:rPr/>
      </w:pPr>
      <w:r>
        <w:rPr/>
        <w:drawing>
          <wp:inline distT="0" distB="0" distL="0" distR="0">
            <wp:extent cx="3625850" cy="522605"/>
            <wp:effectExtent l="0" t="0" r="0" b="0"/>
            <wp:docPr id="61" name="Picture 61" descr="Equation&#10;r_t=\mathrm{clip}\!\left(\frac{S_{\mathrm{target},t}}{S_{\mathrm{current},t}}-1,\,-r_{\max},\,+r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Equation&#10;r_t=\mathrm{clip}\!\left(\frac{S_{\mathrm{target},t}}{S_{\mathrm{current},t}}-1,\,-r_{\max},\,+r_{\max}\right)"/>
                    <pic:cNvPicPr>
                      <a:picLocks noChangeAspect="1" noChangeArrowheads="1"/>
                    </pic:cNvPicPr>
                  </pic:nvPicPr>
                  <pic:blipFill>
                    <a:blip r:embed="rId62"/>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62" name="Picture 62" descr="Equation&#10;S_{\mathrm{next},t}=S_{\mathrm{current},t}(1+r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Equation&#10;S_{\mathrm{next},t}=S_{\mathrm{current},t}(1+r_t)"/>
                    <pic:cNvPicPr>
                      <a:picLocks noChangeAspect="1" noChangeArrowheads="1"/>
                    </pic:cNvPicPr>
                  </pic:nvPicPr>
                  <pic:blipFill>
                    <a:blip r:embed="rId63"/>
                    <a:stretch>
                      <a:fillRect/>
                    </a:stretch>
                  </pic:blipFill>
                  <pic:spPr bwMode="auto">
                    <a:xfrm>
                      <a:off x="0" y="0"/>
                      <a:ext cx="2334895" cy="303530"/>
                    </a:xfrm>
                    <a:prstGeom prst="rect">
                      <a:avLst/>
                    </a:prstGeom>
                    <a:noFill/>
                  </pic:spPr>
                </pic:pic>
              </a:graphicData>
            </a:graphic>
          </wp:inline>
        </w:drawing>
      </w:r>
    </w:p>
    <w:p>
      <w:pPr>
        <w:pStyle w:val="Normal"/>
        <w:keepLines/>
        <w:spacing w:before="80" w:after="160"/>
        <w:jc w:val="center"/>
        <w:rPr/>
      </w:pPr>
      <w:r>
        <w:rPr/>
        <w:drawing>
          <wp:inline distT="0" distB="0" distL="0" distR="0">
            <wp:extent cx="1706880" cy="307340"/>
            <wp:effectExtent l="0" t="0" r="0" b="0"/>
            <wp:docPr id="63" name="Picture 63" descr="Equation&#10;\mathrm{Balance}_{h,t}=q_h I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Equation&#10;\mathrm{Balance}_{h,t}=q_h I_t"/>
                    <pic:cNvPicPr>
                      <a:picLocks noChangeAspect="1" noChangeArrowheads="1"/>
                    </pic:cNvPicPr>
                  </pic:nvPicPr>
                  <pic:blipFill>
                    <a:blip r:embed="rId64"/>
                    <a:stretch>
                      <a:fillRect/>
                    </a:stretch>
                  </pic:blipFill>
                  <pic:spPr bwMode="auto">
                    <a:xfrm>
                      <a:off x="0" y="0"/>
                      <a:ext cx="1706880" cy="307340"/>
                    </a:xfrm>
                    <a:prstGeom prst="rect">
                      <a:avLst/>
                    </a:prstGeom>
                    <a:noFill/>
                  </pic:spPr>
                </pic:pic>
              </a:graphicData>
            </a:graphic>
          </wp:inline>
        </w:drawing>
      </w:r>
    </w:p>
    <w:p>
      <w:pPr>
        <w:pStyle w:val="Heading2"/>
        <w:keepNext w:val="true"/>
        <w:keepLines/>
        <w:widowControl/>
        <w:rPr/>
      </w:pPr>
      <w:bookmarkStart w:id="659" w:name="__RefHeading___Toc8831_528838595"/>
      <w:bookmarkEnd w:id="659"/>
      <w:r>
        <w:rPr/>
        <w:t>A.13 Rounding</w:t>
      </w:r>
    </w:p>
    <w:p>
      <w:pPr>
        <w:pStyle w:val="Compact"/>
        <w:widowControl/>
        <w:numPr>
          <w:ilvl w:val="0"/>
          <w:numId w:val="1490"/>
        </w:numPr>
        <w:rPr/>
      </w:pPr>
      <w:r>
        <w:rPr/>
        <w:t>Raw financial observations use their canonical integer or high-precision decimal representation.</w:t>
      </w:r>
    </w:p>
    <w:p>
      <w:pPr>
        <w:pStyle w:val="Compact"/>
        <w:widowControl/>
        <w:numPr>
          <w:ilvl w:val="0"/>
          <w:numId w:val="1491"/>
        </w:numPr>
        <w:rPr/>
      </w:pPr>
      <w:r>
        <w:rPr/>
        <w:t>Normalised sub-indices are stored with at least eight decimal places.</w:t>
      </w:r>
    </w:p>
    <w:p>
      <w:pPr>
        <w:pStyle w:val="Compact"/>
        <w:widowControl/>
        <w:numPr>
          <w:ilvl w:val="0"/>
          <w:numId w:val="1492"/>
        </w:numPr>
        <w:rPr/>
      </w:pPr>
      <w:r>
        <w:rPr/>
        <w:t>Parent indices are stored with at least six decimal places and displayed to two by default.</w:t>
      </w:r>
    </w:p>
    <w:p>
      <w:pPr>
        <w:pStyle w:val="Compact"/>
        <w:widowControl/>
        <w:numPr>
          <w:ilvl w:val="0"/>
          <w:numId w:val="1493"/>
        </w:numPr>
        <w:rPr/>
      </w:pPr>
      <w:r>
        <w:rPr/>
        <w:t>VTS, VRI and V-FOREX rates are stored with at least twelve decimal places and displayed to six by default.</w:t>
      </w:r>
    </w:p>
    <w:p>
      <w:pPr>
        <w:pStyle w:val="Compact"/>
        <w:widowControl/>
        <w:numPr>
          <w:ilvl w:val="0"/>
          <w:numId w:val="1494"/>
        </w:numPr>
        <w:rPr/>
      </w:pPr>
      <w:bookmarkStart w:id="660" w:name="a.13-rounding"/>
      <w:bookmarkStart w:id="661" w:name="appendix-a-mathematical-specification"/>
      <w:r>
        <w:rPr/>
        <w:t>Rounding occurs only at display boundaries, not during intermediate aggregation.</w:t>
      </w:r>
      <w:bookmarkEnd w:id="660"/>
      <w:bookmarkEnd w:id="661"/>
    </w:p>
    <w:p>
      <w:pPr>
        <w:pStyle w:val="Heading1"/>
        <w:keepNext w:val="true"/>
        <w:keepLines/>
        <w:widowControl/>
        <w:pBdr>
          <w:bottom w:val="single" w:sz="6" w:space="5" w:color="8AB2BF"/>
        </w:pBdr>
        <w:jc w:val="left"/>
        <w:rPr/>
      </w:pPr>
      <w:bookmarkStart w:id="662" w:name="__RefHeading___Toc8833_528838595"/>
      <w:bookmarkEnd w:id="662"/>
      <w:r>
        <w:rPr/>
        <w:t>Appendix B — Canonical Metric Registry</w:t>
      </w:r>
    </w:p>
    <w:p>
      <w:pPr>
        <w:pStyle w:val="Normal"/>
        <w:rPr/>
      </w:pPr>
      <w:r>
        <w:rPr/>
        <w:t>The following registry is carried forward unchanged from Edition 3.1 into Edition 3.2. Detailed observation-level definitions are maintained as machine-readable governance artefacts. Edition 3.2 changes evidence infrastructure, not the canonical parent composition shown here.</w:t>
      </w:r>
    </w:p>
    <w:p>
      <w:pPr>
        <w:pStyle w:val="Heading2"/>
        <w:keepNext w:val="true"/>
        <w:keepLines/>
        <w:widowControl/>
        <w:rPr/>
      </w:pPr>
      <w:bookmarkStart w:id="663" w:name="__RefHeading___Toc8835_528838595"/>
      <w:bookmarkEnd w:id="663"/>
      <w:r>
        <w:rPr/>
        <w:t>B.1 PoV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POV.ES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settlement</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POV.FR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 and protocol revenue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Bounded/positive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POV.AU</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economic usage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concentration adjustment</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POV.VC</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capture and sustainability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POV.PQ</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activity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bookmarkStart w:id="664" w:name="b.1-pov-registry"/>
            <w:bookmarkEnd w:id="664"/>
          </w:p>
        </w:tc>
      </w:tr>
    </w:tbl>
    <w:p>
      <w:pPr>
        <w:pStyle w:val="Heading2"/>
        <w:keepNext w:val="true"/>
        <w:keepLines/>
        <w:widowControl/>
        <w:rPr/>
      </w:pPr>
      <w:bookmarkStart w:id="665" w:name="__RefHeading___Toc8837_528838595"/>
      <w:bookmarkEnd w:id="665"/>
      <w:r>
        <w:rPr/>
        <w:t>B.2 OPI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OPI.AP</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participant breadth</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OPI.SP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participation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OPI.GP</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participation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OPI.DP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Developer participation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retention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OPI.DR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and retention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bl>
    <w:p>
      <w:pPr>
        <w:pStyle w:val="Heading2"/>
        <w:keepNext w:val="true"/>
        <w:keepLines/>
        <w:widowControl/>
        <w:rPr/>
      </w:pPr>
      <w:bookmarkStart w:id="666" w:name="__RefHeading___Toc8839_528838595"/>
      <w:bookmarkEnd w:id="666"/>
      <w:r>
        <w:rPr/>
        <w:t>B.3 DLI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DLI.ED</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Executable depth</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DLI.SE</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Slippage efficiency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Negative slippage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DLI.VQ</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Volume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wash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DLI.VD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Venue and asset diversity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DLI.CR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Concentration and stress resilience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Event/365 days</w:t>
            </w:r>
          </w:p>
        </w:tc>
      </w:tr>
    </w:tbl>
    <w:p>
      <w:pPr>
        <w:pStyle w:val="Heading2"/>
        <w:keepNext w:val="true"/>
        <w:keepLines/>
        <w:widowControl/>
        <w:rPr/>
      </w:pPr>
      <w:bookmarkStart w:id="667" w:name="__RefHeading___Toc8841_528838595"/>
      <w:bookmarkEnd w:id="667"/>
      <w:r>
        <w:rPr/>
        <w:t>B.4 PII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PII.ST</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track record</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incident severity</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days/lifetime</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PII.CD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PII.ID</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Infrastructure diversity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PII.AF</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Availability and finality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disruption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PII.GI</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upgrade integrity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8" w:name="__RefHeading___Toc8843_528838595"/>
      <w:bookmarkEnd w:id="668"/>
      <w:r>
        <w:rPr/>
        <w:t>B.5 RWAI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RWAI.RS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Real-world settlement value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verification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RWAI.SP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Stablecoin and payment use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RWAI.TA</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Tokenised asset value and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RWAI.AD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Adoption diversity and persistence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RWAI.EI</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External-verification integrity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9" w:name="__RefHeading___Toc8845_528838595"/>
      <w:bookmarkEnd w:id="669"/>
      <w:r>
        <w:rPr/>
        <w:t>B.6 ERI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ERI.AR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Activity retention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ERI.LR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retention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retention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ERI.SS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Security-budget sustainability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days/stress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ERI.TR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Treasury and resource resilience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ERI.SR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Shock recovery performance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bookmarkStart w:id="670" w:name="appendix-b-canonical-metric-registry"/>
            <w:bookmarkEnd w:id="670"/>
          </w:p>
        </w:tc>
      </w:tr>
    </w:tbl>
    <w:p>
      <w:pPr>
        <w:pStyle w:val="Heading1"/>
        <w:keepNext w:val="true"/>
        <w:keepLines/>
        <w:widowControl/>
        <w:pBdr>
          <w:bottom w:val="single" w:sz="6" w:space="5" w:color="8AB2BF"/>
        </w:pBdr>
        <w:jc w:val="left"/>
        <w:rPr/>
      </w:pPr>
      <w:bookmarkStart w:id="671" w:name="__RefHeading___Toc8847_528838595"/>
      <w:bookmarkEnd w:id="671"/>
      <w:r>
        <w:rPr/>
        <w:t>Appendix C — Worked VTS Example</w:t>
      </w:r>
    </w:p>
    <w:p>
      <w:pPr>
        <w:pStyle w:val="Normal"/>
        <w:rPr/>
      </w:pPr>
      <w:r>
        <w:rPr/>
        <w:t>Consider a fictional network with the following official parent indices:</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Index</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Score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72.0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64.0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55.0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74.5</w:t>
            </w:r>
          </w:p>
        </w:tc>
      </w:tr>
    </w:tbl>
    <w:p>
      <w:pPr>
        <w:pStyle w:val="BodyText"/>
        <w:widowControl/>
        <w:rPr/>
      </w:pPr>
      <w:r>
        <w:rPr/>
        <w:t>The sum is:</w:t>
      </w:r>
    </w:p>
    <w:p>
      <w:pPr>
        <w:pStyle w:val="BodyText"/>
        <w:keepLines/>
        <w:spacing w:before="80" w:after="160"/>
        <w:jc w:val="center"/>
        <w:rPr/>
      </w:pPr>
      <w:r>
        <w:rPr/>
        <w:drawing>
          <wp:inline distT="0" distB="0" distL="0" distR="0">
            <wp:extent cx="3867785" cy="287020"/>
            <wp:effectExtent l="0" t="0" r="0" b="0"/>
            <wp:docPr id="64" name="Picture 64" descr="Equation&#10;72+64+70+75+55+74.5=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Equation&#10;72+64+70+75+55+74.5=410.5"/>
                    <pic:cNvPicPr>
                      <a:picLocks noChangeAspect="1" noChangeArrowheads="1"/>
                    </pic:cNvPicPr>
                  </pic:nvPicPr>
                  <pic:blipFill>
                    <a:blip r:embed="rId65"/>
                    <a:stretch>
                      <a:fillRect/>
                    </a:stretch>
                  </pic:blipFill>
                  <pic:spPr bwMode="auto">
                    <a:xfrm>
                      <a:off x="0" y="0"/>
                      <a:ext cx="3867785" cy="287020"/>
                    </a:xfrm>
                    <a:prstGeom prst="rect">
                      <a:avLst/>
                    </a:prstGeom>
                    <a:noFill/>
                  </pic:spPr>
                </pic:pic>
              </a:graphicData>
            </a:graphic>
          </wp:inline>
        </w:drawing>
      </w:r>
    </w:p>
    <w:p>
      <w:pPr>
        <w:pStyle w:val="Normal"/>
        <w:rPr/>
      </w:pPr>
      <w:r>
        <w:rPr/>
        <w:t>The core VTS is:</w:t>
      </w:r>
    </w:p>
    <w:p>
      <w:pPr>
        <w:pStyle w:val="BodyText"/>
        <w:keepLines/>
        <w:spacing w:before="80" w:after="160"/>
        <w:jc w:val="center"/>
        <w:rPr/>
      </w:pPr>
      <w:r>
        <w:rPr/>
        <w:drawing>
          <wp:inline distT="0" distB="0" distL="0" distR="0">
            <wp:extent cx="2816225" cy="429895"/>
            <wp:effectExtent l="0" t="0" r="0" b="0"/>
            <wp:docPr id="65" name="Picture 65" descr="Equation&#10;VTS_{\mathrm{core}}=\frac{410.5}{600}=0.684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Equation&#10;VTS_{\mathrm{core}}=\frac{410.5}{600}=0.6841667"/>
                    <pic:cNvPicPr>
                      <a:picLocks noChangeAspect="1" noChangeArrowheads="1"/>
                    </pic:cNvPicPr>
                  </pic:nvPicPr>
                  <pic:blipFill>
                    <a:blip r:embed="rId66"/>
                    <a:stretch>
                      <a:fillRect/>
                    </a:stretch>
                  </pic:blipFill>
                  <pic:spPr bwMode="auto">
                    <a:xfrm>
                      <a:off x="0" y="0"/>
                      <a:ext cx="2816225" cy="429895"/>
                    </a:xfrm>
                    <a:prstGeom prst="rect">
                      <a:avLst/>
                    </a:prstGeom>
                    <a:noFill/>
                  </pic:spPr>
                </pic:pic>
              </a:graphicData>
            </a:graphic>
          </wp:inline>
        </w:drawing>
      </w:r>
    </w:p>
    <w:p>
      <w:pPr>
        <w:pStyle w:val="Normal"/>
        <w:rPr/>
      </w:pPr>
      <w:r>
        <w:rPr/>
        <w:t>Assume the current ERU_core is 0.625000:</w:t>
      </w:r>
    </w:p>
    <w:p>
      <w:pPr>
        <w:pStyle w:val="BodyText"/>
        <w:keepLines/>
        <w:spacing w:before="80" w:after="160"/>
        <w:jc w:val="center"/>
        <w:rPr/>
      </w:pPr>
      <w:r>
        <w:rPr/>
        <w:drawing>
          <wp:inline distT="0" distB="0" distL="0" distR="0">
            <wp:extent cx="2857500" cy="429895"/>
            <wp:effectExtent l="0" t="0" r="0" b="0"/>
            <wp:docPr id="66" name="Picture 66" descr="Equation&#10;VTS=\frac{0.6841667}{0.625000}=1.09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Equation&#10;VTS=\frac{0.6841667}{0.625000}=1.0946667"/>
                    <pic:cNvPicPr>
                      <a:picLocks noChangeAspect="1" noChangeArrowheads="1"/>
                    </pic:cNvPicPr>
                  </pic:nvPicPr>
                  <pic:blipFill>
                    <a:blip r:embed="rId67"/>
                    <a:stretch>
                      <a:fillRect/>
                    </a:stretch>
                  </pic:blipFill>
                  <pic:spPr bwMode="auto">
                    <a:xfrm>
                      <a:off x="0" y="0"/>
                      <a:ext cx="2857500" cy="429895"/>
                    </a:xfrm>
                    <a:prstGeom prst="rect">
                      <a:avLst/>
                    </a:prstGeom>
                    <a:noFill/>
                  </pic:spPr>
                </pic:pic>
              </a:graphicData>
            </a:graphic>
          </wp:inline>
        </w:drawing>
      </w:r>
    </w:p>
    <w:p>
      <w:pPr>
        <w:pStyle w:val="Normal"/>
        <w:rPr/>
      </w:pPr>
      <w:r>
        <w:rPr/>
        <w:t>The network is therefore approximately 9.47% above the current reference benchmark.</w:t>
      </w:r>
    </w:p>
    <w:p>
      <w:pPr>
        <w:pStyle w:val="BodyText"/>
        <w:widowControl/>
        <w:rPr/>
      </w:pPr>
      <w:r>
        <w:rPr/>
        <w:t>Assume the standardised VRI is 0.910000:</w:t>
      </w:r>
    </w:p>
    <w:p>
      <w:pPr>
        <w:pStyle w:val="BodyText"/>
        <w:keepLines/>
        <w:spacing w:before="80" w:after="160"/>
        <w:jc w:val="center"/>
        <w:rPr/>
      </w:pPr>
      <w:r>
        <w:rPr/>
        <w:drawing>
          <wp:inline distT="0" distB="0" distL="0" distR="0">
            <wp:extent cx="5623560" cy="304800"/>
            <wp:effectExtent l="0" t="0" r="0" b="0"/>
            <wp:docPr id="67" name="Picture 67" descr="Equation&#10;\mathrm{Opportunity\ Gap}=1.0946667-0.910000=0.18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Equation&#10;\mathrm{Opportunity\ Gap}=1.0946667-0.910000=0.1846667"/>
                    <pic:cNvPicPr>
                      <a:picLocks noChangeAspect="1" noChangeArrowheads="1"/>
                    </pic:cNvPicPr>
                  </pic:nvPicPr>
                  <pic:blipFill>
                    <a:blip r:embed="rId68"/>
                    <a:stretch>
                      <a:fillRect/>
                    </a:stretch>
                  </pic:blipFill>
                  <pic:spPr bwMode="auto">
                    <a:xfrm>
                      <a:off x="0" y="0"/>
                      <a:ext cx="5623560" cy="304800"/>
                    </a:xfrm>
                    <a:prstGeom prst="rect">
                      <a:avLst/>
                    </a:prstGeom>
                    <a:noFill/>
                  </pic:spPr>
                </pic:pic>
              </a:graphicData>
            </a:graphic>
          </wp:inline>
        </w:drawing>
      </w:r>
    </w:p>
    <w:p>
      <w:pPr>
        <w:pStyle w:val="Normal"/>
        <w:rPr/>
      </w:pPr>
      <w:r>
        <w:rPr/>
        <w:t>The positive gap indicates that measured fundamentals exceed market recognition under the current model. Assume VRS is 38 and VCS is 87. The interpretation is:</w:t>
      </w:r>
    </w:p>
    <w:p>
      <w:pPr>
        <w:pStyle w:val="Compact"/>
        <w:widowControl/>
        <w:numPr>
          <w:ilvl w:val="0"/>
          <w:numId w:val="1495"/>
        </w:numPr>
        <w:rPr/>
      </w:pPr>
      <w:r>
        <w:rPr/>
        <w:t>above-reference intrinsic performance;</w:t>
      </w:r>
    </w:p>
    <w:p>
      <w:pPr>
        <w:pStyle w:val="Compact"/>
        <w:widowControl/>
        <w:numPr>
          <w:ilvl w:val="0"/>
          <w:numId w:val="1496"/>
        </w:numPr>
        <w:rPr/>
      </w:pPr>
      <w:r>
        <w:rPr/>
        <w:t>positive under-recognition signal;</w:t>
      </w:r>
    </w:p>
    <w:p>
      <w:pPr>
        <w:pStyle w:val="Compact"/>
        <w:widowControl/>
        <w:numPr>
          <w:ilvl w:val="0"/>
          <w:numId w:val="1497"/>
        </w:numPr>
        <w:rPr/>
      </w:pPr>
      <w:r>
        <w:rPr/>
        <w:t>moderate-low measured structural risk;</w:t>
      </w:r>
    </w:p>
    <w:p>
      <w:pPr>
        <w:pStyle w:val="Compact"/>
        <w:widowControl/>
        <w:numPr>
          <w:ilvl w:val="0"/>
          <w:numId w:val="1498"/>
        </w:numPr>
        <w:rPr/>
      </w:pPr>
      <w:r>
        <w:rPr/>
        <w:t>high-confidence evidence.</w:t>
      </w:r>
    </w:p>
    <w:p>
      <w:pPr>
        <w:pStyle w:val="Normal"/>
        <w:rPr/>
      </w:pPr>
      <w:r>
        <w:rPr/>
        <w:t>This remains a research conclusion, not a prediction that market price will rise.</w:t>
      </w:r>
    </w:p>
    <w:p>
      <w:pPr>
        <w:pStyle w:val="Heading2"/>
        <w:keepNext w:val="true"/>
        <w:keepLines/>
        <w:widowControl/>
        <w:rPr/>
      </w:pPr>
      <w:bookmarkStart w:id="672" w:name="__RefHeading___Toc8849_528838595"/>
      <w:bookmarkEnd w:id="672"/>
      <w:r>
        <w:rPr/>
        <w:t>C.1 Contribution analysis</w:t>
      </w:r>
    </w:p>
    <w:p>
      <w:pPr>
        <w:pStyle w:val="Normal"/>
        <w:rPr/>
      </w:pPr>
      <w:r>
        <w:rPr/>
        <w:t>Because parent indices are equal, every one-point change in a parent index changes VTS_core by:</w:t>
      </w:r>
    </w:p>
    <w:p>
      <w:pPr>
        <w:pStyle w:val="BodyText"/>
        <w:keepLines/>
        <w:spacing w:before="80" w:after="160"/>
        <w:jc w:val="center"/>
        <w:rPr/>
      </w:pPr>
      <w:r>
        <w:rPr/>
        <w:drawing>
          <wp:inline distT="0" distB="0" distL="0" distR="0">
            <wp:extent cx="1666240" cy="423545"/>
            <wp:effectExtent l="0" t="0" r="0" b="0"/>
            <wp:docPr id="68" name="Picture 68" descr="Equation&#10;\frac{1}{600}=0.001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Equation&#10;\frac{1}{600}=0.0016667"/>
                    <pic:cNvPicPr>
                      <a:picLocks noChangeAspect="1" noChangeArrowheads="1"/>
                    </pic:cNvPicPr>
                  </pic:nvPicPr>
                  <pic:blipFill>
                    <a:blip r:embed="rId69"/>
                    <a:stretch>
                      <a:fillRect/>
                    </a:stretch>
                  </pic:blipFill>
                  <pic:spPr bwMode="auto">
                    <a:xfrm>
                      <a:off x="0" y="0"/>
                      <a:ext cx="1666240" cy="423545"/>
                    </a:xfrm>
                    <a:prstGeom prst="rect">
                      <a:avLst/>
                    </a:prstGeom>
                    <a:noFill/>
                  </pic:spPr>
                </pic:pic>
              </a:graphicData>
            </a:graphic>
          </wp:inline>
        </w:drawing>
      </w:r>
    </w:p>
    <w:p>
      <w:pPr>
        <w:pStyle w:val="Normal"/>
        <w:rPr/>
      </w:pPr>
      <w:r>
        <w:rPr/>
        <w:t>The effect on standardised VTS depends on the current ERU:</w:t>
      </w:r>
    </w:p>
    <w:p>
      <w:pPr>
        <w:pStyle w:val="BodyText"/>
        <w:keepLines/>
        <w:spacing w:before="80" w:after="160"/>
        <w:jc w:val="center"/>
        <w:rPr/>
      </w:pPr>
      <w:r>
        <w:rPr/>
        <w:drawing>
          <wp:inline distT="0" distB="0" distL="0" distR="0">
            <wp:extent cx="1662430" cy="443865"/>
            <wp:effectExtent l="0" t="0" r="0" b="0"/>
            <wp:docPr id="69" name="Picture 69" descr="Equation&#10;\Delta VTS=\frac{0.0016667}{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Equation&#10;\Delta VTS=\frac{0.0016667}{ERU_{\mathrm{core}}}"/>
                    <pic:cNvPicPr>
                      <a:picLocks noChangeAspect="1" noChangeArrowheads="1"/>
                    </pic:cNvPicPr>
                  </pic:nvPicPr>
                  <pic:blipFill>
                    <a:blip r:embed="rId70"/>
                    <a:stretch>
                      <a:fillRect/>
                    </a:stretch>
                  </pic:blipFill>
                  <pic:spPr bwMode="auto">
                    <a:xfrm>
                      <a:off x="0" y="0"/>
                      <a:ext cx="1662430" cy="443865"/>
                    </a:xfrm>
                    <a:prstGeom prst="rect">
                      <a:avLst/>
                    </a:prstGeom>
                    <a:noFill/>
                  </pic:spPr>
                </pic:pic>
              </a:graphicData>
            </a:graphic>
          </wp:inline>
        </w:drawing>
      </w:r>
    </w:p>
    <w:p>
      <w:pPr>
        <w:pStyle w:val="Normal"/>
        <w:rPr/>
      </w:pPr>
      <w:bookmarkStart w:id="673" w:name="c.1-contribution-analysis"/>
      <w:r>
        <w:rPr/>
        <w:t>At an ERU core of 0.625, one parent-index point changes VTS by approximately 0.002667.</w:t>
      </w:r>
      <w:bookmarkEnd w:id="673"/>
    </w:p>
    <w:p>
      <w:pPr>
        <w:pStyle w:val="Heading1"/>
        <w:keepNext w:val="true"/>
        <w:keepLines/>
        <w:widowControl/>
        <w:pBdr>
          <w:bottom w:val="single" w:sz="6" w:space="5" w:color="8AB2BF"/>
        </w:pBdr>
        <w:jc w:val="left"/>
        <w:rPr/>
      </w:pPr>
      <w:bookmarkStart w:id="674" w:name="__RefHeading___Toc8851_528838595"/>
      <w:bookmarkEnd w:id="674"/>
      <w:r>
        <w:rPr/>
        <w:t>Appendix D — Worked V-FOREX and VOX Example</w:t>
      </w:r>
    </w:p>
    <w:p>
      <w:pPr>
        <w:pStyle w:val="Heading2"/>
        <w:keepNext w:val="true"/>
        <w:keepLines/>
        <w:widowControl/>
        <w:rPr/>
      </w:pPr>
      <w:bookmarkStart w:id="675" w:name="__RefHeading___Toc8853_528838595"/>
      <w:bookmarkEnd w:id="675"/>
      <w:r>
        <w:rPr/>
        <w:t>D.1 Reference pair</w:t>
      </w:r>
    </w:p>
    <w:p>
      <w:pPr>
        <w:pStyle w:val="Normal"/>
        <w:rPr/>
      </w:pPr>
      <w:r>
        <w:rPr/>
        <w:t>Assume:</w:t>
      </w:r>
    </w:p>
    <w:p>
      <w:pPr>
        <w:pStyle w:val="BodyText"/>
        <w:keepLines/>
        <w:spacing w:before="80" w:after="160"/>
        <w:jc w:val="center"/>
        <w:rPr/>
      </w:pPr>
      <w:r>
        <w:rPr/>
        <w:drawing>
          <wp:inline distT="0" distB="0" distL="0" distR="0">
            <wp:extent cx="3021330" cy="287020"/>
            <wp:effectExtent l="0" t="0" r="0" b="0"/>
            <wp:docPr id="70" name="Picture 70" descr="Equation&#10;VTS_A=1.20,\qquad VTS_B=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Equation&#10;VTS_A=1.20,\qquad VTS_B=0.80"/>
                    <pic:cNvPicPr>
                      <a:picLocks noChangeAspect="1" noChangeArrowheads="1"/>
                    </pic:cNvPicPr>
                  </pic:nvPicPr>
                  <pic:blipFill>
                    <a:blip r:embed="rId71"/>
                    <a:stretch>
                      <a:fillRect/>
                    </a:stretch>
                  </pic:blipFill>
                  <pic:spPr bwMode="auto">
                    <a:xfrm>
                      <a:off x="0" y="0"/>
                      <a:ext cx="3021330" cy="287020"/>
                    </a:xfrm>
                    <a:prstGeom prst="rect">
                      <a:avLst/>
                    </a:prstGeom>
                    <a:noFill/>
                  </pic:spPr>
                </pic:pic>
              </a:graphicData>
            </a:graphic>
          </wp:inline>
        </w:drawing>
      </w:r>
    </w:p>
    <w:p>
      <w:pPr>
        <w:pStyle w:val="Normal"/>
        <w:rPr/>
      </w:pPr>
      <w:r>
        <w:rPr/>
        <w:t>Then:</w:t>
      </w:r>
    </w:p>
    <w:p>
      <w:pPr>
        <w:pStyle w:val="BodyText"/>
        <w:keepLines/>
        <w:spacing w:before="80" w:after="160"/>
        <w:jc w:val="center"/>
        <w:rPr/>
      </w:pPr>
      <w:r>
        <w:rPr/>
        <w:drawing>
          <wp:inline distT="0" distB="0" distL="0" distR="0">
            <wp:extent cx="2051685" cy="429895"/>
            <wp:effectExtent l="0" t="0" r="0" b="0"/>
            <wp:docPr id="71" name="Picture 71" descr="Equation&#10;R_{\mathrm{ref}}\!\left(\frac{A}{B}\right)=\frac{1.20}{0.8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Equation&#10;R_{\mathrm{ref}}\!\left(\frac{A}{B}\right)=\frac{1.20}{0.80}=1.50"/>
                    <pic:cNvPicPr>
                      <a:picLocks noChangeAspect="1" noChangeArrowheads="1"/>
                    </pic:cNvPicPr>
                  </pic:nvPicPr>
                  <pic:blipFill>
                    <a:blip r:embed="rId72"/>
                    <a:stretch>
                      <a:fillRect/>
                    </a:stretch>
                  </pic:blipFill>
                  <pic:spPr bwMode="auto">
                    <a:xfrm>
                      <a:off x="0" y="0"/>
                      <a:ext cx="2051685" cy="429895"/>
                    </a:xfrm>
                    <a:prstGeom prst="rect">
                      <a:avLst/>
                    </a:prstGeom>
                    <a:noFill/>
                  </pic:spPr>
                </pic:pic>
              </a:graphicData>
            </a:graphic>
          </wp:inline>
        </w:drawing>
      </w:r>
    </w:p>
    <w:p>
      <w:pPr>
        <w:pStyle w:val="Normal"/>
        <w:rPr/>
      </w:pPr>
      <w:r>
        <w:rPr/>
        <w:t>If a real market trades at 1.65:</w:t>
      </w:r>
    </w:p>
    <w:p>
      <w:pPr>
        <w:pStyle w:val="BodyText"/>
        <w:keepLines/>
        <w:spacing w:before="80" w:after="160"/>
        <w:jc w:val="center"/>
        <w:rPr/>
      </w:pPr>
      <w:r>
        <w:rPr/>
        <w:drawing>
          <wp:inline distT="0" distB="0" distL="0" distR="0">
            <wp:extent cx="4379595" cy="429895"/>
            <wp:effectExtent l="0" t="0" r="0" b="0"/>
            <wp:docPr id="72" name="Picture 72" descr="Equation&#10;\mathrm{Premium/Discount}=\frac{1.65}{1.5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quation&#10;\mathrm{Premium/Discount}=\frac{1.65}{1.50}-1=0.10=10\%"/>
                    <pic:cNvPicPr>
                      <a:picLocks noChangeAspect="1" noChangeArrowheads="1"/>
                    </pic:cNvPicPr>
                  </pic:nvPicPr>
                  <pic:blipFill>
                    <a:blip r:embed="rId73"/>
                    <a:stretch>
                      <a:fillRect/>
                    </a:stretch>
                  </pic:blipFill>
                  <pic:spPr bwMode="auto">
                    <a:xfrm>
                      <a:off x="0" y="0"/>
                      <a:ext cx="4379595" cy="429895"/>
                    </a:xfrm>
                    <a:prstGeom prst="rect">
                      <a:avLst/>
                    </a:prstGeom>
                    <a:noFill/>
                  </pic:spPr>
                </pic:pic>
              </a:graphicData>
            </a:graphic>
          </wp:inline>
        </w:drawing>
      </w:r>
    </w:p>
    <w:p>
      <w:pPr>
        <w:pStyle w:val="Normal"/>
        <w:rPr/>
      </w:pPr>
      <w:bookmarkStart w:id="676" w:name="d.1-reference-pair"/>
      <w:r>
        <w:rPr/>
        <w:t>VOX-A trades at a 10% premium to the VTS reference relative to VOX-B. This is a market observation, not proof of risk-free arbitrage.</w:t>
      </w:r>
      <w:bookmarkEnd w:id="676"/>
    </w:p>
    <w:p>
      <w:pPr>
        <w:pStyle w:val="Heading2"/>
        <w:keepNext w:val="true"/>
        <w:keepLines/>
        <w:widowControl/>
        <w:rPr/>
      </w:pPr>
      <w:bookmarkStart w:id="677" w:name="__RefHeading___Toc8855_528838595"/>
      <w:bookmarkEnd w:id="677"/>
      <w:r>
        <w:rPr/>
        <w:t>D.2 Indexed-supply example</w:t>
      </w:r>
    </w:p>
    <w:p>
      <w:pPr>
        <w:pStyle w:val="Normal"/>
        <w:rPr/>
      </w:pPr>
      <w:r>
        <w:rPr/>
        <w:t>Assume the optional implementation uses:</w:t>
      </w:r>
    </w:p>
    <w:p>
      <w:pPr>
        <w:pStyle w:val="Compact"/>
        <w:widowControl/>
        <w:numPr>
          <w:ilvl w:val="0"/>
          <w:numId w:val="1499"/>
        </w:numPr>
        <w:rPr/>
      </w:pPr>
      <w:r>
        <w:rPr/>
        <w:t>C_ref = 10,000,000;</w:t>
      </w:r>
    </w:p>
    <w:p>
      <w:pPr>
        <w:pStyle w:val="Compact"/>
        <w:widowControl/>
        <w:numPr>
          <w:ilvl w:val="0"/>
          <w:numId w:val="1500"/>
        </w:numPr>
        <w:rPr/>
      </w:pPr>
      <w:r>
        <w:rPr/>
        <w:t>κ = 1;</w:t>
      </w:r>
    </w:p>
    <w:p>
      <w:pPr>
        <w:pStyle w:val="Compact"/>
        <w:widowControl/>
        <w:numPr>
          <w:ilvl w:val="0"/>
          <w:numId w:val="1501"/>
        </w:numPr>
        <w:rPr/>
      </w:pPr>
      <w:r>
        <w:rPr/>
        <w:t>g_min = 0.20;</w:t>
      </w:r>
    </w:p>
    <w:p>
      <w:pPr>
        <w:pStyle w:val="Compact"/>
        <w:widowControl/>
        <w:numPr>
          <w:ilvl w:val="0"/>
          <w:numId w:val="1502"/>
        </w:numPr>
        <w:rPr/>
      </w:pPr>
      <w:r>
        <w:rPr/>
        <w:t>g_max = 1.50;</w:t>
      </w:r>
    </w:p>
    <w:p>
      <w:pPr>
        <w:pStyle w:val="Compact"/>
        <w:widowControl/>
        <w:numPr>
          <w:ilvl w:val="0"/>
          <w:numId w:val="1503"/>
        </w:numPr>
        <w:rPr/>
      </w:pPr>
      <w:r>
        <w:rPr/>
        <w:t>VTS = 1.10;</w:t>
      </w:r>
    </w:p>
    <w:p>
      <w:pPr>
        <w:pStyle w:val="Compact"/>
        <w:widowControl/>
        <w:numPr>
          <w:ilvl w:val="0"/>
          <w:numId w:val="1504"/>
        </w:numPr>
        <w:rPr/>
      </w:pPr>
      <w:r>
        <w:rPr/>
        <w:t>current supply S_current = 9,500,000;</w:t>
      </w:r>
    </w:p>
    <w:p>
      <w:pPr>
        <w:pStyle w:val="Compact"/>
        <w:widowControl/>
        <w:numPr>
          <w:ilvl w:val="0"/>
          <w:numId w:val="1505"/>
        </w:numPr>
        <w:rPr/>
      </w:pPr>
      <w:r>
        <w:rPr/>
        <w:t>maximum adjustment r_max = 2% per period.</w:t>
      </w:r>
    </w:p>
    <w:p>
      <w:pPr>
        <w:pStyle w:val="Normal"/>
        <w:rPr/>
      </w:pPr>
      <w:r>
        <w:rPr/>
        <w:t>Target supply:</w:t>
      </w:r>
    </w:p>
    <w:p>
      <w:pPr>
        <w:pStyle w:val="BodyText"/>
        <w:keepLines/>
        <w:spacing w:before="80" w:after="160"/>
        <w:jc w:val="center"/>
        <w:rPr/>
      </w:pPr>
      <w:r>
        <w:rPr/>
        <w:drawing>
          <wp:inline distT="0" distB="0" distL="0" distR="0">
            <wp:extent cx="4116705" cy="327660"/>
            <wp:effectExtent l="0" t="0" r="0" b="0"/>
            <wp:docPr id="73" name="Picture 73" descr="Equation&#10;S_{\mathrm{target}}=10{,}000{,}000\times1.10=11{,}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Equation&#10;S_{\mathrm{target}}=10{,}000{,}000\times1.10=11{,}000{,}000"/>
                    <pic:cNvPicPr>
                      <a:picLocks noChangeAspect="1" noChangeArrowheads="1"/>
                    </pic:cNvPicPr>
                  </pic:nvPicPr>
                  <pic:blipFill>
                    <a:blip r:embed="rId74"/>
                    <a:stretch>
                      <a:fillRect/>
                    </a:stretch>
                  </pic:blipFill>
                  <pic:spPr bwMode="auto">
                    <a:xfrm>
                      <a:off x="0" y="0"/>
                      <a:ext cx="4116705" cy="327660"/>
                    </a:xfrm>
                    <a:prstGeom prst="rect">
                      <a:avLst/>
                    </a:prstGeom>
                    <a:noFill/>
                  </pic:spPr>
                </pic:pic>
              </a:graphicData>
            </a:graphic>
          </wp:inline>
        </w:drawing>
      </w:r>
    </w:p>
    <w:p>
      <w:pPr>
        <w:pStyle w:val="Normal"/>
        <w:rPr/>
      </w:pPr>
      <w:r>
        <w:rPr/>
        <w:t>Unbounded adjustment:</w:t>
      </w:r>
    </w:p>
    <w:p>
      <w:pPr>
        <w:pStyle w:val="BodyText"/>
        <w:keepLines/>
        <w:spacing w:before="80" w:after="160"/>
        <w:jc w:val="center"/>
        <w:rPr/>
      </w:pPr>
      <w:r>
        <w:rPr/>
        <w:drawing>
          <wp:inline distT="0" distB="0" distL="0" distR="0">
            <wp:extent cx="2399665" cy="488315"/>
            <wp:effectExtent l="0" t="0" r="0" b="0"/>
            <wp:docPr id="74" name="Picture 74" descr="Equation&#10;\frac{11{,}000{,}000}{9{,}500{,}000}-1=1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Equation&#10;\frac{11{,}000{,}000}{9{,}500{,}000}-1=15.789\%"/>
                    <pic:cNvPicPr>
                      <a:picLocks noChangeAspect="1" noChangeArrowheads="1"/>
                    </pic:cNvPicPr>
                  </pic:nvPicPr>
                  <pic:blipFill>
                    <a:blip r:embed="rId75"/>
                    <a:stretch>
                      <a:fillRect/>
                    </a:stretch>
                  </pic:blipFill>
                  <pic:spPr bwMode="auto">
                    <a:xfrm>
                      <a:off x="0" y="0"/>
                      <a:ext cx="2399665" cy="488315"/>
                    </a:xfrm>
                    <a:prstGeom prst="rect">
                      <a:avLst/>
                    </a:prstGeom>
                    <a:noFill/>
                  </pic:spPr>
                </pic:pic>
              </a:graphicData>
            </a:graphic>
          </wp:inline>
        </w:drawing>
      </w:r>
    </w:p>
    <w:p>
      <w:pPr>
        <w:pStyle w:val="Normal"/>
        <w:rPr/>
      </w:pPr>
      <w:r>
        <w:rPr/>
        <w:t>The 2% limit applies:</w:t>
      </w:r>
    </w:p>
    <w:p>
      <w:pPr>
        <w:pStyle w:val="BodyText"/>
        <w:keepLines/>
        <w:spacing w:before="80" w:after="160"/>
        <w:jc w:val="center"/>
        <w:rPr/>
      </w:pPr>
      <w:r>
        <w:rPr/>
        <w:drawing>
          <wp:inline distT="0" distB="0" distL="0" distR="0">
            <wp:extent cx="1508760" cy="589280"/>
            <wp:effectExtent l="0" t="0" r="0" b="0"/>
            <wp:docPr id="75" name="Picture 75" descr="Equation&#10;r_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Equation&#10;r_t=2\%"/>
                    <pic:cNvPicPr>
                      <a:picLocks noChangeAspect="1" noChangeArrowheads="1"/>
                    </pic:cNvPicPr>
                  </pic:nvPicPr>
                  <pic:blipFill>
                    <a:blip r:embed="rId76"/>
                    <a:stretch>
                      <a:fillRect/>
                    </a:stretch>
                  </pic:blipFill>
                  <pic:spPr bwMode="auto">
                    <a:xfrm>
                      <a:off x="0" y="0"/>
                      <a:ext cx="1508760" cy="589280"/>
                    </a:xfrm>
                    <a:prstGeom prst="rect">
                      <a:avLst/>
                    </a:prstGeom>
                    <a:noFill/>
                  </pic:spPr>
                </pic:pic>
              </a:graphicData>
            </a:graphic>
          </wp:inline>
        </w:drawing>
      </w:r>
    </w:p>
    <w:p>
      <w:pPr>
        <w:pStyle w:val="Normal"/>
        <w:rPr/>
      </w:pPr>
      <w:r>
        <w:rPr/>
        <w:t>Next supply:</w:t>
      </w:r>
    </w:p>
    <w:p>
      <w:pPr>
        <w:pStyle w:val="BodyText"/>
        <w:keepLines/>
        <w:spacing w:before="80" w:after="160"/>
        <w:jc w:val="center"/>
        <w:rPr/>
      </w:pPr>
      <w:r>
        <w:rPr/>
        <w:drawing>
          <wp:inline distT="0" distB="0" distL="0" distR="0">
            <wp:extent cx="3755390" cy="287020"/>
            <wp:effectExtent l="0" t="0" r="0" b="0"/>
            <wp:docPr id="76" name="Picture 76" descr="Equation&#10;S_{\mathrm{next}}=9{,}500{,}000\times1.02=9{,}69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Equation&#10;S_{\mathrm{next}}=9{,}500{,}000\times1.02=9{,}690{,}000"/>
                    <pic:cNvPicPr>
                      <a:picLocks noChangeAspect="1" noChangeArrowheads="1"/>
                    </pic:cNvPicPr>
                  </pic:nvPicPr>
                  <pic:blipFill>
                    <a:blip r:embed="rId77"/>
                    <a:stretch>
                      <a:fillRect/>
                    </a:stretch>
                  </pic:blipFill>
                  <pic:spPr bwMode="auto">
                    <a:xfrm>
                      <a:off x="0" y="0"/>
                      <a:ext cx="3755390" cy="287020"/>
                    </a:xfrm>
                    <a:prstGeom prst="rect">
                      <a:avLst/>
                    </a:prstGeom>
                    <a:noFill/>
                  </pic:spPr>
                </pic:pic>
              </a:graphicData>
            </a:graphic>
          </wp:inline>
        </w:drawing>
      </w:r>
    </w:p>
    <w:p>
      <w:pPr>
        <w:pStyle w:val="Normal"/>
        <w:rPr/>
      </w:pPr>
      <w:r>
        <w:rPr/>
        <w:t>The target is approached gradually rather than through immediate expansion.</w:t>
      </w:r>
    </w:p>
    <w:p>
      <w:pPr>
        <w:pStyle w:val="BodyText"/>
        <w:widowControl/>
        <w:rPr/>
      </w:pPr>
      <w:r>
        <w:rPr/>
        <w:t>If VTS later falls and the target becomes 9,000,000 while current supply is 9,690,000, the unbounded contraction is approximately -7.12%. The -2% limit applies:</w:t>
      </w:r>
    </w:p>
    <w:p>
      <w:pPr>
        <w:pStyle w:val="BodyText"/>
        <w:keepLines/>
        <w:spacing w:before="80" w:after="160"/>
        <w:jc w:val="center"/>
        <w:rPr/>
      </w:pPr>
      <w:r>
        <w:rPr/>
        <w:drawing>
          <wp:inline distT="0" distB="0" distL="0" distR="0">
            <wp:extent cx="3755390" cy="287020"/>
            <wp:effectExtent l="0" t="0" r="0" b="0"/>
            <wp:docPr id="77" name="Picture 77" descr="Equation&#10;S_{\mathrm{next}}=9{,}690{,}000\times0.98=9{,}4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Equation&#10;S_{\mathrm{next}}=9{,}690{,}000\times0.98=9{,}496{,}200"/>
                    <pic:cNvPicPr>
                      <a:picLocks noChangeAspect="1" noChangeArrowheads="1"/>
                    </pic:cNvPicPr>
                  </pic:nvPicPr>
                  <pic:blipFill>
                    <a:blip r:embed="rId78"/>
                    <a:stretch>
                      <a:fillRect/>
                    </a:stretch>
                  </pic:blipFill>
                  <pic:spPr bwMode="auto">
                    <a:xfrm>
                      <a:off x="0" y="0"/>
                      <a:ext cx="3755390" cy="287020"/>
                    </a:xfrm>
                    <a:prstGeom prst="rect">
                      <a:avLst/>
                    </a:prstGeom>
                    <a:noFill/>
                  </pic:spPr>
                </pic:pic>
              </a:graphicData>
            </a:graphic>
          </wp:inline>
        </w:drawing>
      </w:r>
    </w:p>
    <w:p>
      <w:pPr>
        <w:pStyle w:val="Normal"/>
        <w:rPr/>
      </w:pPr>
      <w:bookmarkStart w:id="678" w:name="d.2-indexed-supply-example"/>
      <w:bookmarkStart w:id="679" w:name="Xb725a388344d7e175d6174cf77db794adac6a5a"/>
      <w:r>
        <w:rPr/>
        <w:t>Every indexed balance contracts proportionally. This resolves the earlier undefined supply-compression problem.</w:t>
      </w:r>
      <w:bookmarkEnd w:id="678"/>
      <w:bookmarkEnd w:id="679"/>
    </w:p>
    <w:p>
      <w:pPr>
        <w:pStyle w:val="Heading1"/>
        <w:keepNext w:val="true"/>
        <w:keepLines/>
        <w:widowControl/>
        <w:pBdr>
          <w:bottom w:val="single" w:sz="6" w:space="5" w:color="8AB2BF"/>
        </w:pBdr>
        <w:jc w:val="left"/>
        <w:rPr/>
      </w:pPr>
      <w:bookmarkStart w:id="680" w:name="__RefHeading___Toc8857_528838595"/>
      <w:bookmarkEnd w:id="680"/>
      <w:r>
        <w:rPr/>
        <w:t>Appendix E — Adapter Standard</w:t>
      </w:r>
    </w:p>
    <w:p>
      <w:pPr>
        <w:pStyle w:val="Normal"/>
        <w:rPr/>
      </w:pPr>
      <w:r>
        <w:rPr/>
        <w:t>Every certified adapter repository contains:</w:t>
      </w:r>
    </w:p>
    <w:p>
      <w:pPr>
        <w:pStyle w:val="Compact"/>
        <w:widowControl/>
        <w:numPr>
          <w:ilvl w:val="0"/>
          <w:numId w:val="1506"/>
        </w:numPr>
        <w:rPr/>
      </w:pPr>
      <w:r>
        <w:rPr/>
        <w:t>network.yaml — canonical network identity, architecture and scope.</w:t>
      </w:r>
    </w:p>
    <w:p>
      <w:pPr>
        <w:pStyle w:val="Compact"/>
        <w:widowControl/>
        <w:numPr>
          <w:ilvl w:val="0"/>
          <w:numId w:val="1507"/>
        </w:numPr>
        <w:rPr/>
      </w:pPr>
      <w:r>
        <w:rPr/>
        <w:t>metrics.yaml — supported canonical metric IDs and versions.</w:t>
      </w:r>
    </w:p>
    <w:p>
      <w:pPr>
        <w:pStyle w:val="Compact"/>
        <w:widowControl/>
        <w:numPr>
          <w:ilvl w:val="0"/>
          <w:numId w:val="1508"/>
        </w:numPr>
        <w:rPr/>
      </w:pPr>
      <w:r>
        <w:rPr/>
        <w:t>sources.yaml — source hierarchy, licences and fallback rules.</w:t>
      </w:r>
    </w:p>
    <w:p>
      <w:pPr>
        <w:pStyle w:val="Compact"/>
        <w:widowControl/>
        <w:numPr>
          <w:ilvl w:val="0"/>
          <w:numId w:val="1509"/>
        </w:numPr>
        <w:rPr/>
      </w:pPr>
      <w:r>
        <w:rPr/>
        <w:t>queries/ — RPC, SQL, subgraph or API extraction logic.</w:t>
      </w:r>
    </w:p>
    <w:p>
      <w:pPr>
        <w:pStyle w:val="Compact"/>
        <w:widowControl/>
        <w:numPr>
          <w:ilvl w:val="0"/>
          <w:numId w:val="1510"/>
        </w:numPr>
        <w:rPr/>
      </w:pPr>
      <w:r>
        <w:rPr/>
        <w:t>transforms/ — unit, classification and quality transformations.</w:t>
      </w:r>
    </w:p>
    <w:p>
      <w:pPr>
        <w:pStyle w:val="Compact"/>
        <w:widowControl/>
        <w:numPr>
          <w:ilvl w:val="0"/>
          <w:numId w:val="1511"/>
        </w:numPr>
        <w:rPr/>
      </w:pPr>
      <w:r>
        <w:rPr/>
        <w:t>fixtures/ — known block, transaction and event examples.</w:t>
      </w:r>
    </w:p>
    <w:p>
      <w:pPr>
        <w:pStyle w:val="Compact"/>
        <w:widowControl/>
        <w:numPr>
          <w:ilvl w:val="0"/>
          <w:numId w:val="1512"/>
        </w:numPr>
        <w:rPr/>
      </w:pPr>
      <w:r>
        <w:rPr/>
        <w:t>tests/ — unit, integration, regression and failure tests.</w:t>
      </w:r>
    </w:p>
    <w:p>
      <w:pPr>
        <w:pStyle w:val="Compact"/>
        <w:widowControl/>
        <w:numPr>
          <w:ilvl w:val="0"/>
          <w:numId w:val="1513"/>
        </w:numPr>
        <w:rPr/>
      </w:pPr>
      <w:r>
        <w:rPr/>
        <w:t>limitations.md — blind spots, assumptions and unobservable data.</w:t>
      </w:r>
    </w:p>
    <w:p>
      <w:pPr>
        <w:pStyle w:val="Compact"/>
        <w:widowControl/>
        <w:numPr>
          <w:ilvl w:val="0"/>
          <w:numId w:val="1514"/>
        </w:numPr>
        <w:rPr/>
      </w:pPr>
      <w:r>
        <w:rPr/>
        <w:t>CHANGELOG.md — version history.</w:t>
      </w:r>
    </w:p>
    <w:p>
      <w:pPr>
        <w:pStyle w:val="Compact"/>
        <w:widowControl/>
        <w:numPr>
          <w:ilvl w:val="0"/>
          <w:numId w:val="1515"/>
        </w:numPr>
        <w:rPr/>
      </w:pPr>
      <w:r>
        <w:rPr/>
        <w:t>BUILD.md — reproducible environment and execution steps.</w:t>
      </w:r>
    </w:p>
    <w:p>
      <w:pPr>
        <w:pStyle w:val="Heading2"/>
        <w:keepNext w:val="true"/>
        <w:keepLines/>
        <w:widowControl/>
        <w:rPr/>
      </w:pPr>
      <w:bookmarkStart w:id="681" w:name="__RefHeading___Toc8859_528838595"/>
      <w:bookmarkEnd w:id="681"/>
      <w:r>
        <w:rPr/>
        <w:t>E.1 Required adapter metadata</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Description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Network 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 identifier independent of branding changes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Architecture class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PoW, PoS, rollup, app-chain, modular or other</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Genesis and history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Earliest reliable observation date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scope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Included execution, settlement and ecosystem boundaries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Maintainers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Public keys and governance status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Certification state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Experimental, provisional, certified or suspended</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Dependencies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Nodes, providers, indexers, contracts and libraries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Critical assumptions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Trust and classification assumptions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Test coverage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Automated and manually reviewed coverage</w:t>
            </w:r>
            <w:bookmarkStart w:id="682" w:name="e.1-required-adapter-metadata"/>
            <w:bookmarkEnd w:id="682"/>
          </w:p>
        </w:tc>
      </w:tr>
    </w:tbl>
    <w:p>
      <w:pPr>
        <w:pStyle w:val="Heading2"/>
        <w:keepNext w:val="true"/>
        <w:keepLines/>
        <w:widowControl/>
        <w:rPr/>
      </w:pPr>
      <w:bookmarkStart w:id="683" w:name="__RefHeading___Toc8861_528838595"/>
      <w:bookmarkEnd w:id="683"/>
      <w:r>
        <w:rPr/>
        <w:t>E.2 Adapter review checklist</w:t>
      </w:r>
    </w:p>
    <w:p>
      <w:pPr>
        <w:pStyle w:val="Compact"/>
        <w:widowControl/>
        <w:numPr>
          <w:ilvl w:val="0"/>
          <w:numId w:val="1516"/>
        </w:numPr>
        <w:rPr/>
      </w:pPr>
      <w:r>
        <w:rPr/>
        <w:t>Are quantities expressed in canonical units?</w:t>
      </w:r>
    </w:p>
    <w:p>
      <w:pPr>
        <w:pStyle w:val="Compact"/>
        <w:widowControl/>
        <w:numPr>
          <w:ilvl w:val="0"/>
          <w:numId w:val="1517"/>
        </w:numPr>
        <w:rPr/>
      </w:pPr>
      <w:r>
        <w:rPr/>
        <w:t>Are bridge and wrapped-asset duplicates removed?</w:t>
      </w:r>
    </w:p>
    <w:p>
      <w:pPr>
        <w:pStyle w:val="Compact"/>
        <w:widowControl/>
        <w:numPr>
          <w:ilvl w:val="0"/>
          <w:numId w:val="1518"/>
        </w:numPr>
        <w:rPr/>
      </w:pPr>
      <w:r>
        <w:rPr/>
        <w:t>Are contract and system accounts classified consistently?</w:t>
      </w:r>
    </w:p>
    <w:p>
      <w:pPr>
        <w:pStyle w:val="Compact"/>
        <w:widowControl/>
        <w:numPr>
          <w:ilvl w:val="0"/>
          <w:numId w:val="1519"/>
        </w:numPr>
        <w:rPr/>
      </w:pPr>
      <w:r>
        <w:rPr/>
        <w:t>Are consensus entities mapped to effective control where possible?</w:t>
      </w:r>
    </w:p>
    <w:p>
      <w:pPr>
        <w:pStyle w:val="Compact"/>
        <w:widowControl/>
        <w:numPr>
          <w:ilvl w:val="0"/>
          <w:numId w:val="1520"/>
        </w:numPr>
        <w:rPr/>
      </w:pPr>
      <w:r>
        <w:rPr/>
        <w:t>Are source failures explicit?</w:t>
      </w:r>
    </w:p>
    <w:p>
      <w:pPr>
        <w:pStyle w:val="Compact"/>
        <w:widowControl/>
        <w:numPr>
          <w:ilvl w:val="0"/>
          <w:numId w:val="1521"/>
        </w:numPr>
        <w:rPr/>
      </w:pPr>
      <w:r>
        <w:rPr/>
        <w:t>Are data revisions versioned?</w:t>
      </w:r>
    </w:p>
    <w:p>
      <w:pPr>
        <w:pStyle w:val="Compact"/>
        <w:widowControl/>
        <w:numPr>
          <w:ilvl w:val="0"/>
          <w:numId w:val="1522"/>
        </w:numPr>
        <w:rPr/>
      </w:pPr>
      <w:r>
        <w:rPr/>
        <w:t>Can a third party reproduce the output?</w:t>
      </w:r>
    </w:p>
    <w:p>
      <w:pPr>
        <w:pStyle w:val="Compact"/>
        <w:widowControl/>
        <w:numPr>
          <w:ilvl w:val="0"/>
          <w:numId w:val="1523"/>
        </w:numPr>
        <w:rPr/>
      </w:pPr>
      <w:r>
        <w:rPr/>
        <w:t>Does the adapter expose privacy or legal concerns?</w:t>
      </w:r>
    </w:p>
    <w:p>
      <w:pPr>
        <w:pStyle w:val="Compact"/>
        <w:widowControl/>
        <w:numPr>
          <w:ilvl w:val="0"/>
          <w:numId w:val="1524"/>
        </w:numPr>
        <w:rPr/>
      </w:pPr>
      <w:bookmarkStart w:id="684" w:name="appendix-e-adapter-standard"/>
      <w:r>
        <w:rPr/>
        <w:t>Does it create a systematic advantage for the network architecture?</w:t>
      </w:r>
      <w:bookmarkEnd w:id="684"/>
    </w:p>
    <w:p>
      <w:pPr>
        <w:pStyle w:val="Heading1"/>
        <w:keepNext w:val="true"/>
        <w:keepLines/>
        <w:widowControl/>
        <w:pBdr>
          <w:bottom w:val="single" w:sz="6" w:space="5" w:color="8AB2BF"/>
        </w:pBdr>
        <w:jc w:val="left"/>
        <w:rPr/>
      </w:pPr>
      <w:bookmarkStart w:id="685" w:name="__RefHeading___Toc8863_528838595"/>
      <w:bookmarkEnd w:id="685"/>
      <w:r>
        <w:rPr/>
        <w:t>Appendix F — Data Quality and Confidence Rules</w:t>
      </w:r>
    </w:p>
    <w:p>
      <w:pPr>
        <w:pStyle w:val="Heading2"/>
        <w:keepNext w:val="true"/>
        <w:keepLines/>
        <w:widowControl/>
        <w:rPr/>
      </w:pPr>
      <w:bookmarkStart w:id="686" w:name="__RefHeading___Toc8865_528838595"/>
      <w:bookmarkEnd w:id="686"/>
      <w:r>
        <w:rPr/>
        <w:t>F.1 Source-quality scale</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5507"/>
        <w:gridCol w:w="4130"/>
      </w:tblGrid>
      <w:tr>
        <w:trPr>
          <w:tblHeader w:val="true"/>
          <w:cantSplit w:val="true"/>
        </w:trPr>
        <w:tc>
          <w:tcPr>
            <w:tcW w:w="55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Score</w:t>
            </w:r>
          </w:p>
        </w:tc>
        <w:tc>
          <w:tcPr>
            <w:tcW w:w="413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Source class</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90–100</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Direct cryptographically verifiable or deterministic chain data</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75–89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Open-source independent indexer with reproducible methodology</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60–74</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Transparent specialist or aggregator with documented inputs</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Partially transparent provider or estimated classification</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20–39</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Opaque or single-party assertion with limited verification</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0–19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Unverifiable, stale or materially disputed evidence</w:t>
            </w:r>
          </w:p>
        </w:tc>
      </w:tr>
    </w:tbl>
    <w:p>
      <w:pPr>
        <w:pStyle w:val="BodyText"/>
        <w:widowControl/>
        <w:rPr/>
      </w:pPr>
      <w:bookmarkStart w:id="687" w:name="f.1-source-quality-scale"/>
      <w:r>
        <w:rPr/>
        <w:t>The scale is guidance; the registry defines metric-specific requirements.</w:t>
      </w:r>
      <w:bookmarkEnd w:id="687"/>
    </w:p>
    <w:p>
      <w:pPr>
        <w:pStyle w:val="Heading2"/>
        <w:keepNext w:val="true"/>
        <w:keepLines/>
        <w:widowControl/>
        <w:rPr/>
      </w:pPr>
      <w:bookmarkStart w:id="688" w:name="__RefHeading___Toc8867_528838595"/>
      <w:bookmarkEnd w:id="688"/>
      <w:r>
        <w:rPr/>
        <w:t>F.2 Freshness decay</w:t>
      </w:r>
    </w:p>
    <w:p>
      <w:pPr>
        <w:pStyle w:val="Normal"/>
        <w:rPr/>
      </w:pPr>
      <w:r>
        <w:rPr/>
        <w:t>A metric may use a decay function after its freshness deadline d_0:</w:t>
      </w:r>
    </w:p>
    <w:p>
      <w:pPr>
        <w:pStyle w:val="BodyText"/>
        <w:keepLines/>
        <w:spacing w:before="80" w:after="160"/>
        <w:jc w:val="center"/>
        <w:rPr/>
      </w:pPr>
      <w:r>
        <w:rPr/>
        <w:drawing>
          <wp:inline distT="0" distB="0" distL="0" distR="0">
            <wp:extent cx="3949700" cy="337820"/>
            <wp:effectExtent l="0" t="0" r="0" b="0"/>
            <wp:docPr id="78" name="Picture 78" descr="Equation&#10;\mathrm{FreshnessScore}(d)=100e^{-\lambda\max(0,d-d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Equation&#10;\mathrm{FreshnessScore}(d)=100e^{-\lambda\max(0,d-d_0)}"/>
                    <pic:cNvPicPr>
                      <a:picLocks noChangeAspect="1" noChangeArrowheads="1"/>
                    </pic:cNvPicPr>
                  </pic:nvPicPr>
                  <pic:blipFill>
                    <a:blip r:embed="rId79"/>
                    <a:stretch>
                      <a:fillRect/>
                    </a:stretch>
                  </pic:blipFill>
                  <pic:spPr bwMode="auto">
                    <a:xfrm>
                      <a:off x="0" y="0"/>
                      <a:ext cx="3949700" cy="337820"/>
                    </a:xfrm>
                    <a:prstGeom prst="rect">
                      <a:avLst/>
                    </a:prstGeom>
                    <a:noFill/>
                  </pic:spPr>
                </pic:pic>
              </a:graphicData>
            </a:graphic>
          </wp:inline>
        </w:drawing>
      </w:r>
    </w:p>
    <w:p>
      <w:pPr>
        <w:pStyle w:val="Normal"/>
        <w:rPr/>
      </w:pPr>
      <w:r>
        <w:rPr/>
        <w:t>where d is age and λ is set by the registry. Critical incident data may have a much faster decay than annual legal documentation.</w:t>
      </w:r>
    </w:p>
    <w:p>
      <w:pPr>
        <w:pStyle w:val="Heading2"/>
        <w:keepNext w:val="true"/>
        <w:keepLines/>
        <w:widowControl/>
        <w:rPr/>
      </w:pPr>
      <w:bookmarkStart w:id="689" w:name="__RefHeading___Toc8869_528838595"/>
      <w:bookmarkEnd w:id="689"/>
      <w:r>
        <w:rPr/>
        <w:t>F.3 Cross-source consistency</w:t>
      </w:r>
    </w:p>
    <w:p>
      <w:pPr>
        <w:pStyle w:val="Normal"/>
        <w:rPr/>
      </w:pPr>
      <w:r>
        <w:rPr/>
        <w:t>For comparable observations x_1, …, x_n, relative dispersion may be measured using median absolute deviation:</w:t>
      </w:r>
    </w:p>
    <w:p>
      <w:pPr>
        <w:pStyle w:val="BodyText"/>
        <w:keepLines/>
        <w:spacing w:before="80" w:after="160"/>
        <w:jc w:val="center"/>
        <w:rPr/>
      </w:pPr>
      <w:r>
        <w:rPr/>
        <w:drawing>
          <wp:inline distT="0" distB="0" distL="0" distR="0">
            <wp:extent cx="3147695" cy="501650"/>
            <wp:effectExtent l="0" t="0" r="0" b="0"/>
            <wp:docPr id="79" name="Picture 79" descr="Equation&#10;\mathrm{Dispersion}=\frac{\mathrm{median}\!\left(|x_i-\mathrm{median}(x)|\right)}{\max\!\left(|\mathrm{median}(x)|,\varepsilon\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quation&#10;\mathrm{Dispersion}=\frac{\mathrm{median}\!\left(|x_i-\mathrm{median}(x)|\right)}{\max\!\left(|\mathrm{median}(x)|,\varepsilon\right)}"/>
                    <pic:cNvPicPr>
                      <a:picLocks noChangeAspect="1" noChangeArrowheads="1"/>
                    </pic:cNvPicPr>
                  </pic:nvPicPr>
                  <pic:blipFill>
                    <a:blip r:embed="rId80"/>
                    <a:stretch>
                      <a:fillRect/>
                    </a:stretch>
                  </pic:blipFill>
                  <pic:spPr bwMode="auto">
                    <a:xfrm>
                      <a:off x="0" y="0"/>
                      <a:ext cx="3147695" cy="501650"/>
                    </a:xfrm>
                    <a:prstGeom prst="rect">
                      <a:avLst/>
                    </a:prstGeom>
                    <a:noFill/>
                  </pic:spPr>
                </pic:pic>
              </a:graphicData>
            </a:graphic>
          </wp:inline>
        </w:drawing>
      </w:r>
    </w:p>
    <w:p>
      <w:pPr>
        <w:pStyle w:val="Normal"/>
        <w:rPr/>
      </w:pPr>
      <w:bookmarkStart w:id="690" w:name="f.3-cross-source-consistency"/>
      <w:r>
        <w:rPr/>
        <w:t>Unexplained dispersion reduces VCS and triggers reconciliation above a metric-specific threshold.</w:t>
      </w:r>
      <w:bookmarkEnd w:id="690"/>
    </w:p>
    <w:p>
      <w:pPr>
        <w:pStyle w:val="Heading2"/>
        <w:keepNext w:val="true"/>
        <w:keepLines/>
        <w:widowControl/>
        <w:rPr/>
      </w:pPr>
      <w:bookmarkStart w:id="691" w:name="__RefHeading___Toc8871_528838595"/>
      <w:bookmarkEnd w:id="691"/>
      <w:r>
        <w:rPr/>
        <w:t>F.4 Confidence inheritance</w:t>
      </w:r>
    </w:p>
    <w:p>
      <w:pPr>
        <w:pStyle w:val="Normal"/>
        <w:rPr/>
      </w:pPr>
      <w:bookmarkStart w:id="692" w:name="f.4-confidence-inheritance"/>
      <w:bookmarkStart w:id="693" w:name="Xa8e24cb9481b5f498eb13c9747d11192aeb4750"/>
      <w:r>
        <w:rPr/>
        <w:t>A parent index cannot have confidence higher than justified by its material sub-indices. Composite VCS considers all indices and critical dependencies. V-FOREX pair confidence generally inherits the lower network VCS and any additional pair-specific risk.</w:t>
      </w:r>
      <w:bookmarkEnd w:id="692"/>
      <w:bookmarkEnd w:id="693"/>
    </w:p>
    <w:p>
      <w:pPr>
        <w:pStyle w:val="Heading1"/>
        <w:keepNext w:val="true"/>
        <w:keepLines/>
        <w:widowControl/>
        <w:pBdr>
          <w:bottom w:val="single" w:sz="6" w:space="5" w:color="8AB2BF"/>
        </w:pBdr>
        <w:jc w:val="left"/>
        <w:rPr/>
      </w:pPr>
      <w:bookmarkStart w:id="694" w:name="__RefHeading___Toc8873_528838595"/>
      <w:bookmarkEnd w:id="694"/>
      <w:r>
        <w:rPr/>
        <w:t>Appendix G — Governance Proposal Template</w:t>
      </w:r>
    </w:p>
    <w:p>
      <w:pPr>
        <w:pStyle w:val="Normal"/>
        <w:rPr/>
      </w:pPr>
      <w:r>
        <w:rPr/>
        <w:t>Every formal proposal should contain:</w:t>
      </w:r>
    </w:p>
    <w:p>
      <w:pPr>
        <w:pStyle w:val="Compact"/>
        <w:widowControl/>
        <w:numPr>
          <w:ilvl w:val="0"/>
          <w:numId w:val="1525"/>
        </w:numPr>
        <w:rPr/>
      </w:pPr>
      <w:r>
        <w:rPr>
          <w:b/>
          <w:bCs/>
        </w:rPr>
        <w:t>Title and proposal class</w:t>
      </w:r>
    </w:p>
    <w:p>
      <w:pPr>
        <w:pStyle w:val="Compact"/>
        <w:widowControl/>
        <w:numPr>
          <w:ilvl w:val="0"/>
          <w:numId w:val="1526"/>
        </w:numPr>
        <w:rPr/>
      </w:pPr>
      <w:r>
        <w:rPr>
          <w:b/>
          <w:bCs/>
        </w:rPr>
        <w:t>Author and conflict disclosures</w:t>
      </w:r>
    </w:p>
    <w:p>
      <w:pPr>
        <w:pStyle w:val="Compact"/>
        <w:widowControl/>
        <w:numPr>
          <w:ilvl w:val="0"/>
          <w:numId w:val="1527"/>
        </w:numPr>
        <w:rPr/>
      </w:pPr>
      <w:r>
        <w:rPr>
          <w:b/>
          <w:bCs/>
        </w:rPr>
        <w:t>Problem statement</w:t>
      </w:r>
    </w:p>
    <w:p>
      <w:pPr>
        <w:pStyle w:val="Compact"/>
        <w:widowControl/>
        <w:numPr>
          <w:ilvl w:val="0"/>
          <w:numId w:val="1528"/>
        </w:numPr>
        <w:rPr/>
      </w:pPr>
      <w:r>
        <w:rPr>
          <w:b/>
          <w:bCs/>
        </w:rPr>
        <w:t>Current methodology or system state</w:t>
      </w:r>
    </w:p>
    <w:p>
      <w:pPr>
        <w:pStyle w:val="Compact"/>
        <w:widowControl/>
        <w:numPr>
          <w:ilvl w:val="0"/>
          <w:numId w:val="1529"/>
        </w:numPr>
        <w:rPr/>
      </w:pPr>
      <w:r>
        <w:rPr>
          <w:b/>
          <w:bCs/>
        </w:rPr>
        <w:t>Exact proposed change</w:t>
      </w:r>
    </w:p>
    <w:p>
      <w:pPr>
        <w:pStyle w:val="Compact"/>
        <w:widowControl/>
        <w:numPr>
          <w:ilvl w:val="0"/>
          <w:numId w:val="1530"/>
        </w:numPr>
        <w:rPr/>
      </w:pPr>
      <w:r>
        <w:rPr>
          <w:b/>
          <w:bCs/>
        </w:rPr>
        <w:t>Mathematical and configuration diff</w:t>
      </w:r>
    </w:p>
    <w:p>
      <w:pPr>
        <w:pStyle w:val="Compact"/>
        <w:widowControl/>
        <w:numPr>
          <w:ilvl w:val="0"/>
          <w:numId w:val="1531"/>
        </w:numPr>
        <w:rPr/>
      </w:pPr>
      <w:r>
        <w:rPr>
          <w:b/>
          <w:bCs/>
        </w:rPr>
        <w:t>Affected networks, metrics and dates</w:t>
      </w:r>
    </w:p>
    <w:p>
      <w:pPr>
        <w:pStyle w:val="Compact"/>
        <w:widowControl/>
        <w:numPr>
          <w:ilvl w:val="0"/>
          <w:numId w:val="1532"/>
        </w:numPr>
        <w:rPr/>
      </w:pPr>
      <w:r>
        <w:rPr>
          <w:b/>
          <w:bCs/>
        </w:rPr>
        <w:t>Data and research evidence</w:t>
      </w:r>
    </w:p>
    <w:p>
      <w:pPr>
        <w:pStyle w:val="Compact"/>
        <w:widowControl/>
        <w:numPr>
          <w:ilvl w:val="0"/>
          <w:numId w:val="1533"/>
        </w:numPr>
        <w:rPr/>
      </w:pPr>
      <w:r>
        <w:rPr>
          <w:b/>
          <w:bCs/>
        </w:rPr>
        <w:t>Historical backtest</w:t>
      </w:r>
    </w:p>
    <w:p>
      <w:pPr>
        <w:pStyle w:val="Compact"/>
        <w:widowControl/>
        <w:numPr>
          <w:ilvl w:val="0"/>
          <w:numId w:val="1534"/>
        </w:numPr>
        <w:rPr/>
      </w:pPr>
      <w:r>
        <w:rPr>
          <w:b/>
          <w:bCs/>
        </w:rPr>
        <w:t>Sensitivity and manipulation analysis</w:t>
      </w:r>
    </w:p>
    <w:p>
      <w:pPr>
        <w:pStyle w:val="Compact"/>
        <w:widowControl/>
        <w:numPr>
          <w:ilvl w:val="0"/>
          <w:numId w:val="1535"/>
        </w:numPr>
        <w:rPr/>
      </w:pPr>
      <w:r>
        <w:rPr>
          <w:b/>
          <w:bCs/>
        </w:rPr>
        <w:t>Security and legal implications</w:t>
      </w:r>
    </w:p>
    <w:p>
      <w:pPr>
        <w:pStyle w:val="Compact"/>
        <w:widowControl/>
        <w:numPr>
          <w:ilvl w:val="0"/>
          <w:numId w:val="1536"/>
        </w:numPr>
        <w:rPr/>
      </w:pPr>
      <w:r>
        <w:rPr>
          <w:b/>
          <w:bCs/>
        </w:rPr>
        <w:t>Migration, timelock and rollback</w:t>
      </w:r>
    </w:p>
    <w:p>
      <w:pPr>
        <w:pStyle w:val="Compact"/>
        <w:widowControl/>
        <w:numPr>
          <w:ilvl w:val="0"/>
          <w:numId w:val="1537"/>
        </w:numPr>
        <w:rPr/>
      </w:pPr>
      <w:r>
        <w:rPr>
          <w:b/>
          <w:bCs/>
        </w:rPr>
        <w:t>Plain-language summary</w:t>
      </w:r>
    </w:p>
    <w:p>
      <w:pPr>
        <w:pStyle w:val="Compact"/>
        <w:widowControl/>
        <w:numPr>
          <w:ilvl w:val="0"/>
          <w:numId w:val="1538"/>
        </w:numPr>
        <w:rPr/>
      </w:pPr>
      <w:r>
        <w:rPr>
          <w:b/>
          <w:bCs/>
        </w:rPr>
        <w:t>Reviewer reports</w:t>
      </w:r>
    </w:p>
    <w:p>
      <w:pPr>
        <w:pStyle w:val="Compact"/>
        <w:widowControl/>
        <w:numPr>
          <w:ilvl w:val="0"/>
          <w:numId w:val="1539"/>
        </w:numPr>
        <w:rPr/>
      </w:pPr>
      <w:bookmarkStart w:id="695" w:name="appendix-g-governance-proposal-template"/>
      <w:r>
        <w:rPr>
          <w:b/>
          <w:bCs/>
        </w:rPr>
        <w:t>Vote and execution record</w:t>
      </w:r>
      <w:bookmarkEnd w:id="695"/>
    </w:p>
    <w:p>
      <w:pPr>
        <w:pStyle w:val="Heading1"/>
        <w:keepNext w:val="true"/>
        <w:keepLines/>
        <w:widowControl/>
        <w:pBdr>
          <w:bottom w:val="single" w:sz="6" w:space="5" w:color="8AB2BF"/>
        </w:pBdr>
        <w:jc w:val="left"/>
        <w:rPr/>
      </w:pPr>
      <w:bookmarkStart w:id="696" w:name="__RefHeading___Toc8875_528838595"/>
      <w:bookmarkEnd w:id="696"/>
      <w:r>
        <w:rPr/>
        <w:t>Appendix H — Public API Reproduction Example</w:t>
      </w:r>
    </w:p>
    <w:p>
      <w:pPr>
        <w:pStyle w:val="Normal"/>
        <w:rPr/>
      </w:pPr>
      <w:r>
        <w:rPr/>
        <w:t>A complete reproduction workflow is:</w:t>
      </w:r>
    </w:p>
    <w:p>
      <w:pPr>
        <w:pStyle w:val="Compact"/>
        <w:widowControl/>
        <w:numPr>
          <w:ilvl w:val="0"/>
          <w:numId w:val="1540"/>
        </w:numPr>
        <w:rPr/>
      </w:pPr>
      <w:r>
        <w:rPr/>
        <w:t>request the score snapshot manifest;</w:t>
      </w:r>
    </w:p>
    <w:p>
      <w:pPr>
        <w:pStyle w:val="Compact"/>
        <w:widowControl/>
        <w:numPr>
          <w:ilvl w:val="0"/>
          <w:numId w:val="1541"/>
        </w:numPr>
        <w:rPr/>
      </w:pPr>
      <w:r>
        <w:rPr/>
        <w:t>download referenced raw observation packages;</w:t>
      </w:r>
    </w:p>
    <w:p>
      <w:pPr>
        <w:pStyle w:val="Compact"/>
        <w:widowControl/>
        <w:numPr>
          <w:ilvl w:val="0"/>
          <w:numId w:val="1542"/>
        </w:numPr>
        <w:rPr/>
      </w:pPr>
      <w:r>
        <w:rPr/>
        <w:t>verify source, query and file hashes;</w:t>
      </w:r>
    </w:p>
    <w:p>
      <w:pPr>
        <w:pStyle w:val="Compact"/>
        <w:widowControl/>
        <w:numPr>
          <w:ilvl w:val="0"/>
          <w:numId w:val="1543"/>
        </w:numPr>
        <w:rPr/>
      </w:pPr>
      <w:r>
        <w:rPr/>
        <w:t>check adapter and framework code commits;</w:t>
      </w:r>
    </w:p>
    <w:p>
      <w:pPr>
        <w:pStyle w:val="Compact"/>
        <w:widowControl/>
        <w:numPr>
          <w:ilvl w:val="0"/>
          <w:numId w:val="1544"/>
        </w:numPr>
        <w:rPr/>
      </w:pPr>
      <w:r>
        <w:rPr/>
        <w:t>build the published reproducible environment;</w:t>
      </w:r>
    </w:p>
    <w:p>
      <w:pPr>
        <w:pStyle w:val="Compact"/>
        <w:widowControl/>
        <w:numPr>
          <w:ilvl w:val="0"/>
          <w:numId w:val="1545"/>
        </w:numPr>
        <w:rPr/>
      </w:pPr>
      <w:r>
        <w:rPr/>
        <w:t>execute transformations and normalisation;</w:t>
      </w:r>
    </w:p>
    <w:p>
      <w:pPr>
        <w:pStyle w:val="Compact"/>
        <w:widowControl/>
        <w:numPr>
          <w:ilvl w:val="0"/>
          <w:numId w:val="1546"/>
        </w:numPr>
        <w:rPr/>
      </w:pPr>
      <w:r>
        <w:rPr/>
        <w:t>compare calculated indices and manifests;</w:t>
      </w:r>
    </w:p>
    <w:p>
      <w:pPr>
        <w:pStyle w:val="Compact"/>
        <w:widowControl/>
        <w:numPr>
          <w:ilvl w:val="0"/>
          <w:numId w:val="1547"/>
        </w:numPr>
        <w:rPr/>
      </w:pPr>
      <w:r>
        <w:rPr/>
        <w:t>verify signatures and publication timestamp;</w:t>
      </w:r>
    </w:p>
    <w:p>
      <w:pPr>
        <w:pStyle w:val="Compact"/>
        <w:widowControl/>
        <w:numPr>
          <w:ilvl w:val="0"/>
          <w:numId w:val="1548"/>
        </w:numPr>
        <w:rPr/>
      </w:pPr>
      <w:r>
        <w:rPr/>
        <w:t>report any mismatch through the dispute endpoint.</w:t>
      </w:r>
    </w:p>
    <w:p>
      <w:pPr>
        <w:pStyle w:val="Normal"/>
        <w:rPr/>
      </w:pPr>
      <w:bookmarkStart w:id="697" w:name="Xbf92c8edc99752c81e4c8690fb4038d7cd17f17"/>
      <w:r>
        <w:rPr/>
        <w:t>A reproduction is successful only when all intermediate and final values agree within the declared precision.</w:t>
      </w:r>
      <w:bookmarkEnd w:id="697"/>
    </w:p>
    <w:p>
      <w:pPr>
        <w:pStyle w:val="Heading1"/>
        <w:keepNext w:val="true"/>
        <w:keepLines/>
        <w:widowControl/>
        <w:pBdr>
          <w:bottom w:val="single" w:sz="6" w:space="5" w:color="8AB2BF"/>
        </w:pBdr>
        <w:jc w:val="left"/>
        <w:rPr/>
      </w:pPr>
      <w:bookmarkStart w:id="698" w:name="__RefHeading___Toc8877_528838595"/>
      <w:bookmarkEnd w:id="698"/>
      <w:r>
        <w:rPr/>
        <w:t>Appendix I — Comparison with Traditional Economic and Financial Measures</w:t>
      </w:r>
    </w:p>
    <w:p>
      <w:pPr>
        <w:pStyle w:val="Normal"/>
        <w:rPr/>
      </w:pPr>
      <w:r>
        <w:rPr/>
        <w:t>Voxonomics draws analogies to traditional measures but does not claim exact equivalence.</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Traditional concept</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Voxonomics analogue</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Important difference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GDP or economic output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On-chain output is not national production and may include financial rotation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Labour-force participation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Participants may use multiple networks and are not citizens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liquidity and financial depth</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is programmable, global and exposed to smart-contract risk</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Institutional quality and credit integrity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rules are technical and decentralisation varies by layer</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Trade and real-economy integration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 claims depend on issuers, custody and legal bridges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Foreign reserves and shock capacity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Resilience includes code, validators, liquidity and treasury resources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Exchange rate</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V-FOREX reference</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 reference ratio is not a sovereign currency market or guaranteed price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Credit rating</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VRS/VCS combination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 measures risk; VCS measures evidence quality; neither is a legal rating</w:t>
            </w:r>
          </w:p>
        </w:tc>
      </w:tr>
    </w:tbl>
    <w:p>
      <w:pPr>
        <w:pStyle w:val="BodyText"/>
        <w:widowControl/>
        <w:rPr/>
      </w:pPr>
      <w:bookmarkStart w:id="699" w:name="X52c68128395ead1e714efd439ca0848ac9e0b70"/>
      <w:r>
        <w:rPr/>
        <w:t>Traditional macroeconomic data can be delayed, revised and institutionally interpreted. Blockchain data can be timely and transparent but may be pseudonymous, economically ambiguous and technically complex. Neither domain is free from measurement error.</w:t>
      </w:r>
      <w:bookmarkEnd w:id="699"/>
    </w:p>
    <w:p>
      <w:pPr>
        <w:pStyle w:val="Heading1"/>
        <w:keepNext w:val="true"/>
        <w:keepLines/>
        <w:widowControl/>
        <w:pBdr>
          <w:bottom w:val="single" w:sz="6" w:space="5" w:color="8AB2BF"/>
        </w:pBdr>
        <w:jc w:val="left"/>
        <w:rPr/>
      </w:pPr>
      <w:bookmarkStart w:id="700" w:name="__RefHeading___Toc8879_528838595"/>
      <w:bookmarkStart w:id="701" w:name="appendix-j-glossary"/>
      <w:bookmarkEnd w:id="700"/>
      <w:r>
        <w:rPr/>
        <w:t>Appendix J — Glossary</w:t>
      </w:r>
    </w:p>
    <w:p>
      <w:pPr>
        <w:pStyle w:val="Normal"/>
        <w:rPr/>
      </w:pPr>
      <w:r>
        <w:rPr>
          <w:b/>
          <w:bCs/>
        </w:rPr>
        <w:t>Adapter:</w:t>
      </w:r>
      <w:r>
        <w:rPr/>
        <w:t xml:space="preserve"> Chain-specific software and rules that map public data to canonical Voxonomics metric definitions.</w:t>
      </w:r>
    </w:p>
    <w:p>
      <w:pPr>
        <w:pStyle w:val="BodyText"/>
        <w:widowControl/>
        <w:rPr/>
      </w:pPr>
      <w:r>
        <w:rPr>
          <w:b/>
          <w:bCs/>
        </w:rPr>
        <w:t>Canonical scope:</w:t>
      </w:r>
      <w:r>
        <w:rPr/>
        <w:t xml:space="preserve"> The precise network, execution, settlement and asset boundaries included in a calculation.</w:t>
      </w:r>
    </w:p>
    <w:p>
      <w:pPr>
        <w:pStyle w:val="BodyText"/>
        <w:widowControl/>
        <w:rPr/>
      </w:pPr>
      <w:r>
        <w:rPr>
          <w:b/>
          <w:bCs/>
        </w:rPr>
        <w:t>DLI:</w:t>
      </w:r>
      <w:r>
        <w:rPr/>
        <w:t xml:space="preserve"> Decentralised Liquidity Index; measurement of executable, diversified and resilient on-chain liquidity.</w:t>
      </w:r>
    </w:p>
    <w:p>
      <w:pPr>
        <w:pStyle w:val="BodyText"/>
        <w:widowControl/>
        <w:rPr/>
      </w:pPr>
      <w:r>
        <w:rPr>
          <w:b/>
          <w:bCs/>
        </w:rPr>
        <w:t>Economic Reference Unit (ERU):</w:t>
      </w:r>
      <w:r>
        <w:rPr/>
        <w:t xml:space="preserve"> Dynamic benchmark that defines the published 1.000000 reference level.</w:t>
      </w:r>
    </w:p>
    <w:p>
      <w:pPr>
        <w:pStyle w:val="BodyText"/>
        <w:widowControl/>
        <w:rPr/>
      </w:pPr>
      <w:r>
        <w:rPr>
          <w:b/>
          <w:bCs/>
        </w:rPr>
        <w:t>ERI:</w:t>
      </w:r>
      <w:r>
        <w:rPr/>
        <w:t xml:space="preserve"> Economic Resilience Index; measurement of shock retention and recovery.</w:t>
      </w:r>
    </w:p>
    <w:p>
      <w:pPr>
        <w:pStyle w:val="BodyText"/>
        <w:widowControl/>
        <w:rPr/>
      </w:pPr>
      <w:r>
        <w:rPr>
          <w:b/>
          <w:bCs/>
        </w:rPr>
        <w:t>Opportunity Gap:</w:t>
      </w:r>
      <w:r>
        <w:rPr/>
        <w:t xml:space="preserve"> Difference between VTS and VRI.</w:t>
      </w:r>
    </w:p>
    <w:p>
      <w:pPr>
        <w:pStyle w:val="BodyText"/>
        <w:widowControl/>
        <w:rPr/>
      </w:pPr>
      <w:r>
        <w:rPr>
          <w:b/>
          <w:bCs/>
        </w:rPr>
        <w:t>OPI:</w:t>
      </w:r>
      <w:r>
        <w:rPr/>
        <w:t xml:space="preserve"> On-Chain Participation Index; measurement of productive participant breadth and retention.</w:t>
      </w:r>
    </w:p>
    <w:p>
      <w:pPr>
        <w:pStyle w:val="BodyText"/>
        <w:widowControl/>
        <w:rPr/>
      </w:pPr>
      <w:r>
        <w:rPr>
          <w:b/>
          <w:bCs/>
        </w:rPr>
        <w:t>PII:</w:t>
      </w:r>
      <w:r>
        <w:rPr/>
        <w:t xml:space="preserve"> Protocol Integrity Index; measurement of security, decentralisation, availability and upgrade integrity.</w:t>
      </w:r>
    </w:p>
    <w:p>
      <w:pPr>
        <w:pStyle w:val="BodyText"/>
        <w:widowControl/>
        <w:rPr/>
      </w:pPr>
      <w:r>
        <w:rPr>
          <w:b/>
          <w:bCs/>
        </w:rPr>
        <w:t>PoV:</w:t>
      </w:r>
      <w:r>
        <w:rPr/>
        <w:t xml:space="preserve"> Proof of Value; measurement of economic output, demand and sustainable value capture.</w:t>
      </w:r>
    </w:p>
    <w:p>
      <w:pPr>
        <w:pStyle w:val="BodyText"/>
        <w:widowControl/>
        <w:rPr/>
      </w:pPr>
      <w:r>
        <w:rPr>
          <w:b/>
          <w:bCs/>
        </w:rPr>
        <w:t>Publication status:</w:t>
      </w:r>
      <w:r>
        <w:rPr/>
        <w:t xml:space="preserve"> Confidence-based category determining whether a score is official, provisional, experimental or withheld.</w:t>
      </w:r>
    </w:p>
    <w:p>
      <w:pPr>
        <w:pStyle w:val="BodyText"/>
        <w:widowControl/>
        <w:rPr/>
      </w:pPr>
      <w:r>
        <w:rPr>
          <w:b/>
          <w:bCs/>
        </w:rPr>
        <w:t>RWAI:</w:t>
      </w:r>
      <w:r>
        <w:rPr/>
        <w:t xml:space="preserve"> Real-World Adoption Index; measurement of verifiable external settlement, payments, tokenised assets and adoption.</w:t>
      </w:r>
    </w:p>
    <w:p>
      <w:pPr>
        <w:pStyle w:val="BodyText"/>
        <w:widowControl/>
        <w:rPr/>
      </w:pPr>
      <w:r>
        <w:rPr>
          <w:b/>
          <w:bCs/>
        </w:rPr>
        <w:t>Value Recognition Index (VRI):</w:t>
      </w:r>
      <w:r>
        <w:rPr/>
        <w:t xml:space="preserve"> Standardised measure of market recognition relative to network fundamentals.</w:t>
      </w:r>
    </w:p>
    <w:p>
      <w:pPr>
        <w:pStyle w:val="BodyText"/>
        <w:widowControl/>
        <w:rPr/>
      </w:pPr>
      <w:r>
        <w:rPr>
          <w:b/>
          <w:bCs/>
        </w:rPr>
        <w:t>Value Transfer Score (VTS):</w:t>
      </w:r>
      <w:r>
        <w:rPr/>
        <w:t xml:space="preserve"> Equal-weight intrinsic network economic measurement, standardised against ERU.</w:t>
      </w:r>
    </w:p>
    <w:p>
      <w:pPr>
        <w:pStyle w:val="BodyText"/>
        <w:widowControl/>
        <w:rPr/>
      </w:pPr>
      <w:r>
        <w:rPr>
          <w:b/>
          <w:bCs/>
        </w:rPr>
        <w:t>VOX:</w:t>
      </w:r>
      <w:r>
        <w:rPr/>
        <w:t xml:space="preserve"> Analytical or optionally tokenised network-specific unit indexed to VTS under the Voxonomics standard.</w:t>
      </w:r>
    </w:p>
    <w:p>
      <w:pPr>
        <w:pStyle w:val="BodyText"/>
        <w:widowControl/>
        <w:rPr/>
      </w:pPr>
      <w:r>
        <w:rPr>
          <w:b/>
          <w:bCs/>
        </w:rPr>
        <w:t>VOX Confidence Score (VCS):</w:t>
      </w:r>
      <w:r>
        <w:rPr/>
        <w:t xml:space="preserve"> Measure of data, source, adapter and model confidence.</w:t>
      </w:r>
    </w:p>
    <w:p>
      <w:pPr>
        <w:pStyle w:val="BodyText"/>
        <w:widowControl/>
        <w:rPr/>
      </w:pPr>
      <w:r>
        <w:rPr>
          <w:b/>
          <w:bCs/>
        </w:rPr>
        <w:t>VOX DAO:</w:t>
      </w:r>
      <w:r>
        <w:rPr/>
        <w:t xml:space="preserve"> The single decentralised governance system responsible for the global Voxonomics standard.</w:t>
      </w:r>
    </w:p>
    <w:p>
      <w:pPr>
        <w:pStyle w:val="BodyText"/>
        <w:widowControl/>
        <w:rPr/>
      </w:pPr>
      <w:r>
        <w:rPr>
          <w:b/>
          <w:bCs/>
        </w:rPr>
        <w:t>VOX Risk Score (VRS):</w:t>
      </w:r>
      <w:r>
        <w:rPr/>
        <w:t xml:space="preserve"> Aggregate structural risk score, where a higher value indicates greater risk.</w:t>
      </w:r>
    </w:p>
    <w:p>
      <w:pPr>
        <w:pStyle w:val="BodyText"/>
        <w:widowControl/>
        <w:rPr/>
      </w:pPr>
      <w:r>
        <w:rPr>
          <w:b/>
          <w:bCs/>
        </w:rPr>
        <w:t>V-FOREX:</w:t>
      </w:r>
      <w:r>
        <w:rPr/>
        <w:t xml:space="preserve"> Cross-network reference and optional market system based on VTS ratios.</w:t>
      </w:r>
      <w:bookmarkEnd w:id="701"/>
    </w:p>
    <w:p>
      <w:pPr>
        <w:pStyle w:val="BodyText"/>
        <w:rPr/>
      </w:pPr>
      <w:r>
        <w:rPr/>
        <w:t>Evidence package: Identified bundle or representation of source evidence plus the provenance required to reproduce or verify a canonical observation.</w:t>
      </w:r>
    </w:p>
    <w:p>
      <w:pPr>
        <w:pStyle w:val="BodyText"/>
        <w:rPr/>
      </w:pPr>
      <w:r>
        <w:rPr/>
        <w:t>Evidence retirement eligibility: Governed status indicating that a prior evidence representation may be considered for retirement because all required replacement, provenance, reproduction, audit, dispute and policy conditions have been proven. Eligibility does not itself delete evidence.</w:t>
      </w:r>
    </w:p>
    <w:p>
      <w:pPr>
        <w:pStyle w:val="BodyText"/>
        <w:rPr/>
      </w:pPr>
      <w:r>
        <w:rPr/>
        <w:t>Reproduction: Re-derivation of an observation, measurement or output from preserved authoritative evidence under declared code and methodology versions.</w:t>
      </w:r>
    </w:p>
    <w:p>
      <w:pPr>
        <w:pStyle w:val="BodyText"/>
        <w:rPr/>
      </w:pPr>
      <w:r>
        <w:rPr/>
        <w:t>Verification: Confirmation of identity, integrity, agreement or another declared property; verification does not necessarily recreate the underlying evidence or result.</w:t>
      </w:r>
    </w:p>
    <w:p>
      <w:pPr>
        <w:pStyle w:val="BodyText"/>
        <w:rPr/>
      </w:pPr>
      <w:r>
        <w:rPr/>
        <w:t>Vox-in-a-Box: Independently operable Voxonomics data/evidence node capable of one or more collection, preservation, reproduction, verification, replication, challenge or signed-publication roles under the canonical standard.</w:t>
      </w:r>
    </w:p>
    <w:p>
      <w:pPr>
        <w:pStyle w:val="BodyText"/>
        <w:rPr/>
      </w:pPr>
      <w:r>
        <w:rPr/>
        <w:t>Semantic equivalence: Property of a replacement evidence representation that preserves all fields, relationships, ordering and provenance required by the canonical method, rather than merely being readable or decompressible.</w:t>
      </w:r>
    </w:p>
    <w:p>
      <w:pPr>
        <w:pStyle w:val="BodyText"/>
        <w:rPr/>
      </w:pPr>
      <w:r>
        <w:rPr/>
        <w:t>UNKNOWN reconstructability: Fail-closed evidence state used when safe deterministic reconstruction has not been proven; material in this state is not eligible for retirement.</w:t>
      </w:r>
    </w:p>
    <w:p>
      <w:pPr>
        <w:pStyle w:val="Heading1"/>
        <w:keepNext w:val="true"/>
        <w:keepLines/>
        <w:widowControl/>
        <w:pBdr>
          <w:bottom w:val="single" w:sz="6" w:space="5" w:color="8AB2BF"/>
        </w:pBdr>
        <w:jc w:val="left"/>
        <w:rPr/>
      </w:pPr>
      <w:bookmarkStart w:id="702" w:name="__RefHeading___Toc8881_528838595"/>
      <w:bookmarkEnd w:id="702"/>
      <w:r>
        <w:rPr/>
        <w:t>Appendix K — References</w:t>
      </w:r>
    </w:p>
    <w:p>
      <w:pPr>
        <w:pStyle w:val="Compact"/>
        <w:widowControl/>
        <w:numPr>
          <w:ilvl w:val="0"/>
          <w:numId w:val="1549"/>
        </w:numPr>
        <w:rPr/>
      </w:pPr>
      <w:r>
        <w:rPr/>
        <w:t xml:space="preserve">Nakamoto, S. </w:t>
      </w:r>
      <w:r>
        <w:rPr>
          <w:i/>
          <w:iCs/>
        </w:rPr>
        <w:t>Bitcoin: A Peer-to-Peer Electronic Cash System</w:t>
      </w:r>
      <w:r>
        <w:rPr/>
        <w:t>. Bitcoin.org, 2008. https://bitcoin.org/bitcoin.pdf</w:t>
      </w:r>
    </w:p>
    <w:p>
      <w:pPr>
        <w:pStyle w:val="Compact"/>
        <w:widowControl/>
        <w:numPr>
          <w:ilvl w:val="0"/>
          <w:numId w:val="1550"/>
        </w:numPr>
        <w:rPr/>
      </w:pPr>
      <w:r>
        <w:rPr/>
        <w:t xml:space="preserve">Wood, G. </w:t>
      </w:r>
      <w:r>
        <w:rPr>
          <w:i/>
          <w:iCs/>
        </w:rPr>
        <w:t>Ethereum: A Secure Decentralised Generalised Transaction Ledger — Yellow Paper</w:t>
      </w:r>
      <w:r>
        <w:rPr/>
        <w:t>. Ethereum Project. https://github.com/ethereum/yellowpaper</w:t>
      </w:r>
    </w:p>
    <w:p>
      <w:pPr>
        <w:pStyle w:val="Compact"/>
        <w:widowControl/>
        <w:numPr>
          <w:ilvl w:val="0"/>
          <w:numId w:val="1551"/>
        </w:numPr>
        <w:rPr/>
      </w:pPr>
      <w:r>
        <w:rPr/>
        <w:t xml:space="preserve">DefiLlama. </w:t>
      </w:r>
      <w:r>
        <w:rPr>
          <w:i/>
          <w:iCs/>
        </w:rPr>
        <w:t>Methodology and Open-Source Adapters</w:t>
      </w:r>
      <w:r>
        <w:rPr/>
        <w:t>. https://docs.llama.fi/ and https://github.com/DefiLlama/DefiLlama-Adapters</w:t>
      </w:r>
    </w:p>
    <w:p>
      <w:pPr>
        <w:pStyle w:val="Compact"/>
        <w:widowControl/>
        <w:numPr>
          <w:ilvl w:val="0"/>
          <w:numId w:val="1552"/>
        </w:numPr>
        <w:rPr/>
      </w:pPr>
      <w:r>
        <w:rPr/>
        <w:t xml:space="preserve">The Graph. </w:t>
      </w:r>
      <w:r>
        <w:rPr>
          <w:i/>
          <w:iCs/>
        </w:rPr>
        <w:t>Documentation: Subgraphs and Blockchain Data Indexing</w:t>
      </w:r>
      <w:r>
        <w:rPr/>
        <w:t>. https://thegraph.com/docs/</w:t>
      </w:r>
    </w:p>
    <w:p>
      <w:pPr>
        <w:pStyle w:val="Compact"/>
        <w:widowControl/>
        <w:numPr>
          <w:ilvl w:val="0"/>
          <w:numId w:val="1553"/>
        </w:numPr>
        <w:rPr/>
      </w:pPr>
      <w:r>
        <w:rPr/>
        <w:t xml:space="preserve">CoinGecko. </w:t>
      </w:r>
      <w:r>
        <w:rPr>
          <w:i/>
          <w:iCs/>
        </w:rPr>
        <w:t>API and On-Chain Data Documentation</w:t>
      </w:r>
      <w:r>
        <w:rPr/>
        <w:t>. https://docs.coingecko.com/</w:t>
      </w:r>
    </w:p>
    <w:p>
      <w:pPr>
        <w:pStyle w:val="Compact"/>
        <w:widowControl/>
        <w:numPr>
          <w:ilvl w:val="0"/>
          <w:numId w:val="1554"/>
        </w:numPr>
        <w:rPr/>
      </w:pPr>
      <w:r>
        <w:rPr/>
        <w:t xml:space="preserve">Chainlink. </w:t>
      </w:r>
      <w:r>
        <w:rPr>
          <w:i/>
          <w:iCs/>
        </w:rPr>
        <w:t>Data Feeds and Decentralised Data Model Documentation</w:t>
      </w:r>
      <w:r>
        <w:rPr/>
        <w:t>. https://docs.chain.link/data-feeds</w:t>
      </w:r>
    </w:p>
    <w:p>
      <w:pPr>
        <w:pStyle w:val="Compact"/>
        <w:widowControl/>
        <w:numPr>
          <w:ilvl w:val="0"/>
          <w:numId w:val="1555"/>
        </w:numPr>
        <w:rPr/>
      </w:pPr>
      <w:r>
        <w:rPr/>
        <w:t xml:space="preserve">Solana Foundation. </w:t>
      </w:r>
      <w:r>
        <w:rPr>
          <w:i/>
          <w:iCs/>
        </w:rPr>
        <w:t>Solana RPC Methods</w:t>
      </w:r>
      <w:r>
        <w:rPr/>
        <w:t>. https://solana.com/docs/rpc</w:t>
      </w:r>
    </w:p>
    <w:p>
      <w:pPr>
        <w:pStyle w:val="Compact"/>
        <w:widowControl/>
        <w:numPr>
          <w:ilvl w:val="0"/>
          <w:numId w:val="1556"/>
        </w:numPr>
        <w:rPr/>
      </w:pPr>
      <w:r>
        <w:rPr/>
        <w:t xml:space="preserve">Cosmos. </w:t>
      </w:r>
      <w:r>
        <w:rPr>
          <w:i/>
          <w:iCs/>
        </w:rPr>
        <w:t>Cosmos SDK Documentation</w:t>
      </w:r>
      <w:r>
        <w:rPr/>
        <w:t>. https://docs.cosmos.network/</w:t>
      </w:r>
    </w:p>
    <w:p>
      <w:pPr>
        <w:pStyle w:val="Compact"/>
        <w:widowControl/>
        <w:numPr>
          <w:ilvl w:val="0"/>
          <w:numId w:val="1557"/>
        </w:numPr>
        <w:rPr/>
      </w:pPr>
      <w:r>
        <w:rPr>
          <w:rFonts w:ascii="Aptos" w:hAnsi="Aptos"/>
        </w:rPr>
        <w:t>Lin, Q., Li, C., Zhao, X. and Chen, X. “Measuring Decentralization in Bitcoin and Ethereum Using Multiple Metrics and Granularities.” 2021 IEEE 37th International Conference on Data Engineering Workshops (ICDEW), pp. 80–87. doi:10.1109/ICDEW53142.2021.00022.</w:t>
      </w:r>
    </w:p>
    <w:p>
      <w:pPr>
        <w:pStyle w:val="Compact"/>
        <w:widowControl/>
        <w:numPr>
          <w:ilvl w:val="0"/>
          <w:numId w:val="1558"/>
        </w:numPr>
        <w:rPr/>
      </w:pPr>
      <w:r>
        <w:rPr>
          <w:rFonts w:ascii="Aptos" w:hAnsi="Aptos"/>
        </w:rPr>
        <w:t>Ovezik, C., Karakostas, D., Milad, M., Kiayias, A. and Woods, D. W. “SoK: Measuring Blockchain Decentralization.” arXiv:2501.18279, 2025.</w:t>
      </w:r>
    </w:p>
    <w:p>
      <w:pPr>
        <w:pStyle w:val="Compact"/>
        <w:widowControl/>
        <w:numPr>
          <w:ilvl w:val="0"/>
          <w:numId w:val="1559"/>
        </w:numPr>
        <w:rPr/>
      </w:pPr>
      <w:r>
        <w:rPr>
          <w:rFonts w:ascii="Aptos" w:hAnsi="Aptos"/>
        </w:rPr>
        <w:t>Bank for International Settlements and Committee on Payments and Market Infrastructures. Tokenisation in the Context of Money and Other Assets: Concepts and Implications for Central Banks. CPMI Papers No. 225, October 2024.</w:t>
      </w:r>
    </w:p>
    <w:p>
      <w:pPr>
        <w:pStyle w:val="Compact"/>
        <w:widowControl/>
        <w:numPr>
          <w:ilvl w:val="0"/>
          <w:numId w:val="1560"/>
        </w:numPr>
        <w:rPr/>
      </w:pPr>
      <w:r>
        <w:rPr>
          <w:rFonts w:ascii="Aptos" w:hAnsi="Aptos"/>
        </w:rPr>
        <w:t>Bank for International Settlements. Annual Economic Report 2026, Chapter III: “Anchoring Trust in Money: Innovation Beyond Stablecoins.” June 2026.</w:t>
      </w:r>
    </w:p>
    <w:p>
      <w:pPr>
        <w:pStyle w:val="Compact"/>
        <w:widowControl/>
        <w:numPr>
          <w:ilvl w:val="0"/>
          <w:numId w:val="1561"/>
        </w:numPr>
        <w:rPr/>
      </w:pPr>
      <w:r>
        <w:rPr>
          <w:rFonts w:ascii="Aptos" w:hAnsi="Aptos"/>
        </w:rPr>
        <w:t>Adrian, T. and Mancini-Griffoli, T. The Rise of Digital Money. IMF FinTech Note 19/01, International Monetary Fund, 2019.</w:t>
      </w:r>
    </w:p>
    <w:p>
      <w:pPr>
        <w:pStyle w:val="Compact"/>
        <w:widowControl/>
        <w:numPr>
          <w:ilvl w:val="0"/>
          <w:numId w:val="1562"/>
        </w:numPr>
        <w:rPr/>
      </w:pPr>
      <w:r>
        <w:rPr>
          <w:rFonts w:ascii="Aptos" w:hAnsi="Aptos"/>
        </w:rPr>
        <w:t>Adrian, T., Garratt, R. and He, D. Trust Bridges and Money Flows: A Digital Marketplace to Improve Cross-Border Payments. IMF FinTech Note 2023/001, International Monetary Fund, 2023. doi:10.5089/9798400227073.063.</w:t>
      </w:r>
    </w:p>
    <w:p>
      <w:pPr>
        <w:pStyle w:val="Compact"/>
        <w:widowControl/>
        <w:numPr>
          <w:ilvl w:val="0"/>
          <w:numId w:val="1563"/>
        </w:numPr>
        <w:rPr/>
      </w:pPr>
      <w:r>
        <w:rPr>
          <w:rFonts w:ascii="Aptos" w:hAnsi="Aptos"/>
        </w:rPr>
        <w:t>National Institute of Standards and Technology. The NIST Cybersecurity Framework (CSF) 2.0, NIST CSWP 29, 2024; and Secure Software Development Framework (SSDF), NIST SP 800-218, 2022.</w:t>
      </w:r>
    </w:p>
    <w:p>
      <w:pPr>
        <w:pStyle w:val="Compact"/>
        <w:widowControl/>
        <w:numPr>
          <w:ilvl w:val="0"/>
          <w:numId w:val="1564"/>
        </w:numPr>
        <w:rPr/>
      </w:pPr>
      <w:r>
        <w:rPr>
          <w:rFonts w:ascii="Aptos" w:hAnsi="Aptos"/>
        </w:rPr>
        <w:t>International Organization for Standardization. ISO 8000 data-quality standards; ISO 31000:2018 Risk Management — Guidelines; and ISO/IEC 27001:2022 Information Security Management Systems.</w:t>
      </w:r>
    </w:p>
    <w:p>
      <w:pPr>
        <w:pStyle w:val="Normal"/>
        <w:rPr/>
      </w:pPr>
      <w:bookmarkStart w:id="703" w:name="appendix-k-references"/>
      <w:r>
        <w:rPr/>
        <w:t>References provide technical and economic context. Inclusion does not imply endorsement of Voxonomics by the referenced organisations.</w:t>
      </w:r>
      <w:bookmarkEnd w:id="703"/>
    </w:p>
    <w:p>
      <w:pPr>
        <w:pStyle w:val="Heading2"/>
      </w:pPr>
      <w:r>
        <w:t>Macroeconomic references for Edition 3.3</w:t>
      </w:r>
    </w:p>
    <w:p>
      <w:pPr>
        <w:pStyle w:val="Compact"/>
      </w:pPr>
      <w:r>
        <w:t>[M1] Bank of England. McLeay, Radia and Thomas, Money creation in the modern economy, Quarterly Bulletin 2014 Q1. https://www.bankofengland.co.uk/quarterly-bulletin/2014/q1/money-creation-in-the-modern-economy</w:t>
      </w:r>
    </w:p>
    <w:p>
      <w:pPr>
        <w:pStyle w:val="Compact"/>
      </w:pPr>
      <w:r>
        <w:t>[M2] IMF. Asmundson and Oner, Money at the center of transactions. https://www.imf.org/en/publications/fandd/issues/series/back-to-basics/money</w:t>
      </w:r>
    </w:p>
    <w:p>
      <w:pPr>
        <w:pStyle w:val="Compact"/>
      </w:pPr>
      <w:r>
        <w:t>[M3] IMF. Oner, Inflation prices on the rise. https://www.imf.org/en/publications/fandd/issues/series/back-to-basics/inflation</w:t>
      </w:r>
    </w:p>
    <w:p>
      <w:pPr>
        <w:pStyle w:val="Compact"/>
      </w:pPr>
      <w:r>
        <w:t>[M4] ONS. Drew, Lewis and McLaren, Chain-linking methods used within the UK National Accounts, 10 October 2016. https://www.ons.gov.uk/economy/nationalaccounts/uksectoraccounts/methodologies/chainlinkingmethodsusedwithintheuknationalaccounts</w:t>
      </w:r>
    </w:p>
    <w:p>
      <w:pPr>
        <w:pStyle w:val="Compact"/>
      </w:pPr>
      <w:r>
        <w:t>[M5] BIS. Global liquidity indicators background and interpretation, Quarterly Review March 2015, pp. 20–21. https://www.bis.org/publications/global-liquidity-indicators-background-and-interpretation</w:t>
      </w:r>
    </w:p>
    <w:p>
      <w:pPr>
        <w:pStyle w:val="Compact"/>
      </w:pPr>
      <w:r>
        <w:t>[M6] IMF. A Global Picture of Public Wealth, 18 June 2019. https://www.imf.org/en/blogs/articles/2019/06/18/blog-a-global-picture-of-public-wealth</w:t>
      </w:r>
    </w:p>
    <w:p>
      <w:pPr>
        <w:pStyle w:val="BodyText"/>
      </w:pPr>
      <w:r>
        <w:t>M1–M6 provide macroeconomic context, not validation or endorsement of Voxonomics. The price-versus-fundamentals thesis, blockchain proving-ground rationale and wider ambition are Voxonomics positions. No claim is made that these sources establish VTS as a true-value estimator. Sources checked on 16 October 2026.</w:t>
      </w:r>
    </w:p>
    <w:p>
      <w:pPr>
        <w:pStyle w:val="Heading1"/>
        <w:keepNext w:val="true"/>
        <w:keepLines/>
        <w:widowControl/>
        <w:pBdr>
          <w:bottom w:val="single" w:sz="6" w:space="5" w:color="8AB2BF"/>
        </w:pBdr>
        <w:jc w:val="left"/>
        <w:rPr/>
      </w:pPr>
      <w:bookmarkStart w:id="704" w:name="__RefHeading___Toc9883_2989533693"/>
      <w:bookmarkEnd w:id="704"/>
      <w:r>
        <w:rPr/>
        <w:t>Appendix L — Edition Change Log</w:t>
      </w:r>
    </w:p>
    <w:p>
      <w:pPr>
        <w:pStyle w:val="Normal"/>
        <w:rPr/>
      </w:pPr>
      <w:r>
        <w:t>Edition 3.1 and Edition 3.2 remain preserved as prior publications. Their change records are retained below, followed by the Edition 3.3 amendment record.</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Area</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Edition 3.1 resolution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Core indices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five-index model with PoV, OPI, DLI, PII, RWAI and ERI</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Parent weights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Fixed all six parent indices at equal weight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PTI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subjective Public Trust Index with objective Protocol Integrity Index</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Expanded from real-world assets to real-world adoption and verification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Resilience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ERI as a core equal-weight dimension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Reference scale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dynamic ERU at 1.000000; VTS may exceed one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separation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VRI and Opportunity Gap outside VTS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Risk and confidence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VRS and VCS as independent analytical outputs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Missing data</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Removed arbitrary neutral values; added coverage and publication rules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Universality</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universal economic concepts with chain-specific adapters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 circularity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Removed VOX liquidity from the VTS liquidity calculation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V-FOREX</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VTS ratio as a reference rate, not guaranteed market price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supply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arbitrary chain caps; added universal parameters and explicit contraction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Permission model</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Clarified that public networks may be measured without approval</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one DAO with constitutional limits, versioning and disputes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architecture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provenance, source hierarchy, adapter standard and API</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testing, event studies, manipulation resistance and limitations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Presentation</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rPr/>
            </w:pPr>
            <w:r>
              <w:rPr/>
              <w:t>Rebuilt equations as publication-safe mathematical renderings; corrected contents hierarchy, pagination, navigation and final-page quality assurance.</w:t>
            </w:r>
          </w:p>
        </w:tc>
      </w:tr>
    </w:tbl>
    <w:p>
      <w:pPr>
        <w:pStyle w:val="Heading2"/>
        <w:rPr/>
      </w:pPr>
      <w:r>
        <w:rPr/>
        <w:t>L.2 Edition 3.2 change log</w:t>
      </w:r>
    </w:p>
    <w:p>
      <w:pPr>
        <w:pStyle w:val="Normal"/>
        <w:rPr/>
      </w:pPr>
      <w:r>
        <w:rPr/>
        <w:t>Edition 3.2 preserves the Edition 3.1 economic constitution and adds the evidence and node architecture required for operational verifiability.</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Area</w:t>
            </w:r>
          </w:p>
        </w:tc>
        <w:tc>
          <w:tcPr>
            <w:tcW w:w="4818" w:type="dxa"/>
            <w:tcBorders/>
          </w:tcPr>
          <w:p>
            <w:pPr>
              <w:pStyle w:val="Normal"/>
              <w:widowControl/>
              <w:suppressAutoHyphens w:val="true"/>
              <w:bidi w:val="0"/>
              <w:spacing w:lineRule="auto" w:line="276" w:before="0" w:after="120"/>
              <w:jc w:val="left"/>
              <w:rPr/>
            </w:pPr>
            <w:r>
              <w:rPr>
                <w:b/>
              </w:rPr>
              <w:t>Edition 3.2 change</w:t>
            </w:r>
          </w:p>
        </w:tc>
      </w:tr>
      <w:tr>
        <w:trPr/>
        <w:tc>
          <w:tcPr>
            <w:tcW w:w="4819" w:type="dxa"/>
            <w:tcBorders/>
          </w:tcPr>
          <w:p>
            <w:pPr>
              <w:pStyle w:val="Normal"/>
              <w:widowControl/>
              <w:suppressAutoHyphens w:val="true"/>
              <w:bidi w:val="0"/>
              <w:spacing w:lineRule="auto" w:line="276" w:before="0" w:after="120"/>
              <w:jc w:val="left"/>
              <w:rPr/>
            </w:pPr>
            <w:r>
              <w:rPr/>
              <w:t>Economic methodology</w:t>
            </w:r>
          </w:p>
        </w:tc>
        <w:tc>
          <w:tcPr>
            <w:tcW w:w="4818" w:type="dxa"/>
            <w:tcBorders/>
          </w:tcPr>
          <w:p>
            <w:pPr>
              <w:pStyle w:val="Normal"/>
              <w:widowControl/>
              <w:suppressAutoHyphens w:val="true"/>
              <w:bidi w:val="0"/>
              <w:spacing w:lineRule="auto" w:line="276" w:before="0" w:after="120"/>
              <w:jc w:val="left"/>
              <w:rPr/>
            </w:pPr>
            <w:r>
              <w:rPr/>
              <w:t>No change to the six parent indices, thirty canonical submetrics, parent weights, VTS, ERU, VRI, Opportunity Gap, VRS or VCS methodology</w:t>
            </w:r>
          </w:p>
        </w:tc>
      </w:tr>
      <w:tr>
        <w:trPr/>
        <w:tc>
          <w:tcPr>
            <w:tcW w:w="4819" w:type="dxa"/>
            <w:tcBorders/>
          </w:tcPr>
          <w:p>
            <w:pPr>
              <w:pStyle w:val="Normal"/>
              <w:widowControl/>
              <w:suppressAutoHyphens w:val="true"/>
              <w:bidi w:val="0"/>
              <w:spacing w:lineRule="auto" w:line="276" w:before="0" w:after="120"/>
              <w:jc w:val="left"/>
              <w:rPr/>
            </w:pPr>
            <w:r>
              <w:rPr/>
              <w:t>Evidence chain</w:t>
            </w:r>
          </w:p>
        </w:tc>
        <w:tc>
          <w:tcPr>
            <w:tcW w:w="4818" w:type="dxa"/>
            <w:tcBorders/>
          </w:tcPr>
          <w:p>
            <w:pPr>
              <w:pStyle w:val="Normal"/>
              <w:widowControl/>
              <w:suppressAutoHyphens w:val="true"/>
              <w:bidi w:val="0"/>
              <w:spacing w:lineRule="auto" w:line="276" w:before="0" w:after="120"/>
              <w:jc w:val="left"/>
              <w:rPr/>
            </w:pPr>
            <w:r>
              <w:rPr/>
              <w:t>Formalised forward production and reverse audit chain to authoritative source evidence</w:t>
            </w:r>
          </w:p>
        </w:tc>
      </w:tr>
      <w:tr>
        <w:trPr/>
        <w:tc>
          <w:tcPr>
            <w:tcW w:w="4819" w:type="dxa"/>
            <w:tcBorders/>
          </w:tcPr>
          <w:p>
            <w:pPr>
              <w:pStyle w:val="Normal"/>
              <w:widowControl/>
              <w:suppressAutoHyphens w:val="true"/>
              <w:bidi w:val="0"/>
              <w:spacing w:lineRule="auto" w:line="276" w:before="0" w:after="120"/>
              <w:jc w:val="left"/>
              <w:rPr/>
            </w:pPr>
            <w:r>
              <w:rPr/>
              <w:t>External evidence</w:t>
            </w:r>
          </w:p>
        </w:tc>
        <w:tc>
          <w:tcPr>
            <w:tcW w:w="4818" w:type="dxa"/>
            <w:tcBorders/>
          </w:tcPr>
          <w:p>
            <w:pPr>
              <w:pStyle w:val="Normal"/>
              <w:widowControl/>
              <w:suppressAutoHyphens w:val="true"/>
              <w:bidi w:val="0"/>
              <w:spacing w:lineRule="auto" w:line="276" w:before="0" w:after="120"/>
              <w:jc w:val="left"/>
              <w:rPr/>
            </w:pPr>
            <w:r>
              <w:rPr/>
              <w:t>Clarified that authoritative external evidence is valid where the metric requires it; not every canonical input is literally on-chain</w:t>
            </w:r>
          </w:p>
        </w:tc>
      </w:tr>
      <w:tr>
        <w:trPr/>
        <w:tc>
          <w:tcPr>
            <w:tcW w:w="4819" w:type="dxa"/>
            <w:tcBorders/>
          </w:tcPr>
          <w:p>
            <w:pPr>
              <w:pStyle w:val="Normal"/>
              <w:widowControl/>
              <w:suppressAutoHyphens w:val="true"/>
              <w:bidi w:val="0"/>
              <w:spacing w:lineRule="auto" w:line="276" w:before="0" w:after="120"/>
              <w:jc w:val="left"/>
              <w:rPr/>
            </w:pPr>
            <w:r>
              <w:rPr/>
              <w:t>Storage lifecycle</w:t>
            </w:r>
          </w:p>
        </w:tc>
        <w:tc>
          <w:tcPr>
            <w:tcW w:w="4818" w:type="dxa"/>
            <w:tcBorders/>
          </w:tcPr>
          <w:p>
            <w:pPr>
              <w:pStyle w:val="Normal"/>
              <w:widowControl/>
              <w:suppressAutoHyphens w:val="true"/>
              <w:bidi w:val="0"/>
              <w:spacing w:lineRule="auto" w:line="276" w:before="0" w:after="120"/>
              <w:jc w:val="left"/>
              <w:rPr/>
            </w:pPr>
            <w:r>
              <w:rPr/>
              <w:t>Added STAGE → SEAL → VERIFY → RELEASE governance</w:t>
            </w:r>
          </w:p>
        </w:tc>
      </w:tr>
      <w:tr>
        <w:trPr/>
        <w:tc>
          <w:tcPr>
            <w:tcW w:w="4819" w:type="dxa"/>
            <w:tcBorders/>
          </w:tcPr>
          <w:p>
            <w:pPr>
              <w:pStyle w:val="Normal"/>
              <w:widowControl/>
              <w:suppressAutoHyphens w:val="true"/>
              <w:bidi w:val="0"/>
              <w:spacing w:lineRule="auto" w:line="276" w:before="0" w:after="120"/>
              <w:jc w:val="left"/>
              <w:rPr/>
            </w:pPr>
            <w:r>
              <w:rPr/>
              <w:t>Evidence retirement</w:t>
            </w:r>
          </w:p>
        </w:tc>
        <w:tc>
          <w:tcPr>
            <w:tcW w:w="4818" w:type="dxa"/>
            <w:tcBorders/>
          </w:tcPr>
          <w:p>
            <w:pPr>
              <w:pStyle w:val="Normal"/>
              <w:widowControl/>
              <w:suppressAutoHyphens w:val="true"/>
              <w:bidi w:val="0"/>
              <w:spacing w:lineRule="auto" w:line="276" w:before="0" w:after="120"/>
              <w:jc w:val="left"/>
              <w:rPr/>
            </w:pPr>
            <w:r>
              <w:rPr/>
              <w:t>Added fail-closed item/range-level evidence retirement eligibility; no age-only deletion</w:t>
            </w:r>
          </w:p>
        </w:tc>
      </w:tr>
      <w:tr>
        <w:trPr/>
        <w:tc>
          <w:tcPr>
            <w:tcW w:w="4819" w:type="dxa"/>
            <w:tcBorders/>
          </w:tcPr>
          <w:p>
            <w:pPr>
              <w:pStyle w:val="Normal"/>
              <w:widowControl/>
              <w:suppressAutoHyphens w:val="true"/>
              <w:bidi w:val="0"/>
              <w:spacing w:lineRule="auto" w:line="276" w:before="0" w:after="120"/>
              <w:jc w:val="left"/>
              <w:rPr/>
            </w:pPr>
            <w:r>
              <w:rPr/>
              <w:t>Reproduction vs verification</w:t>
            </w:r>
          </w:p>
        </w:tc>
        <w:tc>
          <w:tcPr>
            <w:tcW w:w="4818" w:type="dxa"/>
            <w:tcBorders/>
          </w:tcPr>
          <w:p>
            <w:pPr>
              <w:pStyle w:val="Normal"/>
              <w:widowControl/>
              <w:suppressAutoHyphens w:val="true"/>
              <w:bidi w:val="0"/>
              <w:spacing w:lineRule="auto" w:line="276" w:before="0" w:after="120"/>
              <w:jc w:val="left"/>
              <w:rPr/>
            </w:pPr>
            <w:r>
              <w:rPr/>
              <w:t>Clarified that hashes verify independently held bytes but cannot reproduce missing evidence</w:t>
            </w:r>
          </w:p>
        </w:tc>
      </w:tr>
      <w:tr>
        <w:trPr/>
        <w:tc>
          <w:tcPr>
            <w:tcW w:w="4819" w:type="dxa"/>
            <w:tcBorders/>
          </w:tcPr>
          <w:p>
            <w:pPr>
              <w:pStyle w:val="Normal"/>
              <w:widowControl/>
              <w:suppressAutoHyphens w:val="true"/>
              <w:bidi w:val="0"/>
              <w:spacing w:lineRule="auto" w:line="276" w:before="0" w:after="120"/>
              <w:jc w:val="left"/>
              <w:rPr/>
            </w:pPr>
            <w:r>
              <w:rPr/>
              <w:t>Reconstructability</w:t>
            </w:r>
          </w:p>
        </w:tc>
        <w:tc>
          <w:tcPr>
            <w:tcW w:w="4818" w:type="dxa"/>
            <w:tcBorders/>
          </w:tcPr>
          <w:p>
            <w:pPr>
              <w:pStyle w:val="Normal"/>
              <w:widowControl/>
              <w:suppressAutoHyphens w:val="true"/>
              <w:bidi w:val="0"/>
              <w:spacing w:lineRule="auto" w:line="276" w:before="0" w:after="120"/>
              <w:jc w:val="left"/>
              <w:rPr/>
            </w:pPr>
            <w:r>
              <w:rPr/>
              <w:t>Added direct, verified replacement, deterministic derived, staged, irreplaceable and UNKNOWN classes</w:t>
            </w:r>
          </w:p>
        </w:tc>
      </w:tr>
      <w:tr>
        <w:trPr/>
        <w:tc>
          <w:tcPr>
            <w:tcW w:w="4819" w:type="dxa"/>
            <w:tcBorders/>
          </w:tcPr>
          <w:p>
            <w:pPr>
              <w:pStyle w:val="Normal"/>
              <w:widowControl/>
              <w:suppressAutoHyphens w:val="true"/>
              <w:bidi w:val="0"/>
              <w:spacing w:lineRule="auto" w:line="276" w:before="0" w:after="120"/>
              <w:jc w:val="left"/>
              <w:rPr/>
            </w:pPr>
            <w:r>
              <w:rPr/>
              <w:t>Completeness</w:t>
            </w:r>
          </w:p>
        </w:tc>
        <w:tc>
          <w:tcPr>
            <w:tcW w:w="4818" w:type="dxa"/>
            <w:tcBorders/>
          </w:tcPr>
          <w:p>
            <w:pPr>
              <w:pStyle w:val="Normal"/>
              <w:widowControl/>
              <w:suppressAutoHyphens w:val="true"/>
              <w:bidi w:val="0"/>
              <w:spacing w:lineRule="auto" w:line="276" w:before="0" w:after="120"/>
              <w:jc w:val="left"/>
              <w:rPr/>
            </w:pPr>
            <w:r>
              <w:rPr/>
              <w:t>Required honest compatible-population denominators for logical journals and sealed part sets</w:t>
            </w:r>
          </w:p>
        </w:tc>
      </w:tr>
      <w:tr>
        <w:trPr/>
        <w:tc>
          <w:tcPr>
            <w:tcW w:w="4819" w:type="dxa"/>
            <w:tcBorders/>
          </w:tcPr>
          <w:p>
            <w:pPr>
              <w:pStyle w:val="Normal"/>
              <w:widowControl/>
              <w:suppressAutoHyphens w:val="true"/>
              <w:bidi w:val="0"/>
              <w:spacing w:lineRule="auto" w:line="276" w:before="0" w:after="120"/>
              <w:jc w:val="left"/>
              <w:rPr/>
            </w:pPr>
            <w:r>
              <w:rPr/>
              <w:t>Vox-in-a-Box</w:t>
            </w:r>
          </w:p>
        </w:tc>
        <w:tc>
          <w:tcPr>
            <w:tcW w:w="4818" w:type="dxa"/>
            <w:tcBorders/>
          </w:tcPr>
          <w:p>
            <w:pPr>
              <w:pStyle w:val="Normal"/>
              <w:widowControl/>
              <w:suppressAutoHyphens w:val="true"/>
              <w:bidi w:val="0"/>
              <w:spacing w:lineRule="auto" w:line="276" w:before="0" w:after="120"/>
              <w:jc w:val="left"/>
              <w:rPr/>
            </w:pPr>
            <w:r>
              <w:rPr/>
              <w:t>Defined independent data/evidence node roles and methodology boundary</w:t>
            </w:r>
          </w:p>
        </w:tc>
      </w:tr>
      <w:tr>
        <w:trPr/>
        <w:tc>
          <w:tcPr>
            <w:tcW w:w="4819" w:type="dxa"/>
            <w:tcBorders/>
          </w:tcPr>
          <w:p>
            <w:pPr>
              <w:pStyle w:val="Normal"/>
              <w:widowControl/>
              <w:suppressAutoHyphens w:val="true"/>
              <w:bidi w:val="0"/>
              <w:spacing w:lineRule="auto" w:line="276" w:before="0" w:after="120"/>
              <w:jc w:val="left"/>
              <w:rPr/>
            </w:pPr>
            <w:r>
              <w:rPr/>
              <w:t>Replication and disagreement</w:t>
            </w:r>
          </w:p>
        </w:tc>
        <w:tc>
          <w:tcPr>
            <w:tcW w:w="4818" w:type="dxa"/>
            <w:tcBorders/>
          </w:tcPr>
          <w:p>
            <w:pPr>
              <w:pStyle w:val="Normal"/>
              <w:widowControl/>
              <w:suppressAutoHyphens w:val="true"/>
              <w:bidi w:val="0"/>
              <w:spacing w:lineRule="auto" w:line="276" w:before="0" w:after="120"/>
              <w:jc w:val="left"/>
              <w:rPr/>
            </w:pPr>
            <w:r>
              <w:rPr/>
              <w:t>Added selective replication, independence taxonomy, challenge and non-majoritarian reconciliation</w:t>
            </w:r>
          </w:p>
        </w:tc>
      </w:tr>
      <w:tr>
        <w:trPr/>
        <w:tc>
          <w:tcPr>
            <w:tcW w:w="4819" w:type="dxa"/>
            <w:tcBorders/>
          </w:tcPr>
          <w:p>
            <w:pPr>
              <w:pStyle w:val="Normal"/>
              <w:widowControl/>
              <w:suppressAutoHyphens w:val="true"/>
              <w:bidi w:val="0"/>
              <w:spacing w:lineRule="auto" w:line="276" w:before="0" w:after="120"/>
              <w:jc w:val="left"/>
              <w:rPr/>
            </w:pPr>
            <w:r>
              <w:rPr/>
              <w:t>Hosted platform security</w:t>
            </w:r>
          </w:p>
        </w:tc>
        <w:tc>
          <w:tcPr>
            <w:tcW w:w="4818" w:type="dxa"/>
            <w:tcBorders/>
          </w:tcPr>
          <w:p>
            <w:pPr>
              <w:pStyle w:val="Normal"/>
              <w:widowControl/>
              <w:suppressAutoHyphens w:val="true"/>
              <w:bidi w:val="0"/>
              <w:spacing w:lineRule="auto" w:line="276" w:before="0" w:after="120"/>
              <w:jc w:val="left"/>
              <w:rPr/>
            </w:pPr>
            <w:r>
              <w:rPr/>
              <w:t>Separated read-only public API/dashboard from collector write, evidence mutation, admin credentials and signing authority</w:t>
            </w:r>
          </w:p>
        </w:tc>
      </w:tr>
      <w:tr>
        <w:trPr/>
        <w:tc>
          <w:tcPr>
            <w:tcW w:w="4819" w:type="dxa"/>
            <w:tcBorders/>
          </w:tcPr>
          <w:p>
            <w:pPr>
              <w:pStyle w:val="Normal"/>
              <w:widowControl/>
              <w:suppressAutoHyphens w:val="true"/>
              <w:bidi w:val="0"/>
              <w:spacing w:lineRule="auto" w:line="276" w:before="0" w:after="120"/>
              <w:jc w:val="left"/>
              <w:rPr/>
            </w:pPr>
            <w:r>
              <w:rPr/>
              <w:t>AI transparency</w:t>
            </w:r>
          </w:p>
        </w:tc>
        <w:tc>
          <w:tcPr>
            <w:tcW w:w="4818" w:type="dxa"/>
            <w:tcBorders/>
          </w:tcPr>
          <w:p>
            <w:pPr>
              <w:pStyle w:val="Normal"/>
              <w:widowControl/>
              <w:suppressAutoHyphens w:val="true"/>
              <w:bidi w:val="0"/>
              <w:spacing w:lineRule="auto" w:line="276" w:before="0" w:after="120"/>
              <w:jc w:val="left"/>
              <w:rPr/>
            </w:pPr>
            <w:r>
              <w:rPr/>
              <w:t>Disclosed AI-assisted development and clarified that it is not methodological authority or independent audit</w:t>
            </w:r>
          </w:p>
        </w:tc>
      </w:tr>
    </w:tbl>
    <w:p>
      <w:pPr>
        <w:pStyle w:val="Heading2"/>
      </w:pPr>
      <w:r>
        <w:t>L.3 Edition 3.3 change log</w:t>
      </w:r>
    </w:p>
    <w:p>
      <w:pPr>
        <w:pStyle w:val="Normal"/>
      </w:pPr>
      <w:r>
        <w:t>Published 16 October 2026. Macroeconomic Thesis and Scope Clarification. Approved for publication by Dave on 16 October 2026.</w:t>
      </w:r>
    </w:p>
    <w:p>
      <w:pPr>
        <w:pStyle w:val="BodyText"/>
      </w:pPr>
      <w:r>
        <w:t>Changed: cover subtitle and date, Publication Notice status and final-edition explanation, running headers, document metadata and closing edition label. Added: Edition 3.3 Change Statement; one Abstract paragraph; Executive Summary subsection “Macroeconomic context and scope”; Sections 1.6–1.10; Appendix K macroeconomic references M1–M6; and this L.3 record. Existing Edition 3.2 change statement and L.2 record remain intact.</w:t>
      </w:r>
    </w:p>
    <w:p>
      <w:pPr>
        <w:pStyle w:val="BodyText"/>
      </w:pPr>
      <w:r>
        <w:t>Purpose: explain the distinction between monetary price and measured economic fundamentals; distinguish monetary and accounting concepts; identify public blockchains as the first proving ground; and bound the longer-term ambition to separate domain-specific canonical frameworks.</w:t>
      </w:r>
    </w:p>
    <w:p>
      <w:pPr>
        <w:pStyle w:val="BodyText"/>
      </w:pPr>
      <w:r>
        <w:t>Unchanged: all existing mathematical specifications, 36 tables, figures, six parent indices, 30 canonical submetrics, equal parent weights, VTS/ERU/VRI/Opportunity Gap/VRS/VCS definitions, benchmark and missing-data rules, collector architecture, certification logic, evidence architecture and Vox-in-a-Box architecture. Existing section and appendix numbers are retained.</w:t>
      </w:r>
    </w:p>
    <w:p>
      <w:pPr>
        <w:pStyle w:val="BodyText"/>
      </w:pPr>
      <w:r>
        <w:t>Migration and impact: explanatory text only. No data migration, historical recalculation, runtime change, benchmark change, metric redefinition or collector development is required or authorised. Edition 3.3 carries forward Edition 3.2 without recalculation and supplies no new official result or implementation certification.</w:t>
      </w:r>
    </w:p>
    <w:p>
      <w:pPr>
        <w:pStyle w:val="BodyText"/>
      </w:pPr>
      <w:r>
        <w:t>Publication record: Dave approved the audited Edition 3.3 text for finalisation and public distribution on 16 October 2026. Edition 3.2 remains preserved as the prior Final Publication Edition.</w:t>
      </w:r>
    </w:p>
    <w:p>
      <w:pPr>
        <w:pStyle w:val="BodyText"/>
        <w:widowControl/>
        <w:spacing w:before="0" w:after="120"/>
        <w:rPr/>
      </w:pPr>
      <w:r>
        <w:t>End of Edition 3.3</w:t>
      </w:r>
    </w:p>
    <w:sectPr>
      <w:headerReference w:type="even" r:id="rId81"/>
      <w:headerReference w:type="default" r:id="rId82"/>
      <w:headerReference w:type="first" r:id="rId83"/>
      <w:footerReference w:type="even" r:id="rId84"/>
      <w:footerReference w:type="default" r:id="rId85"/>
      <w:footerReference w:type="first" r:id="rId86"/>
      <w:type w:val="nextPage"/>
      <w:pgSz w:w="11906" w:h="16838"/>
      <w:pgMar w:left="1134" w:right="1134" w:gutter="0" w:header="510" w:top="1077" w:footer="510" w:bottom="1020"/>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Noto Serif">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Inter">
    <w:charset w:val="00"/>
    <w:family w:val="roman"/>
    <w:pitch w:val="variable"/>
  </w:font>
  <w:font w:name="Inter Display">
    <w:charset w:val="00"/>
    <w:family w:val="roman"/>
    <w:pitch w:val="variable"/>
  </w:font>
  <w:font w:name="DejaVu Sans Mono">
    <w:charset w:val="00"/>
    <w:family w:val="roman"/>
    <w:pitch w:val="variable"/>
  </w:font>
  <w:font w:name="Cambria Math">
    <w:charset w:val="00"/>
    <w:family w:val="roman"/>
    <w:pitch w:val="variable"/>
  </w:font>
  <w:font w:name="Aptos">
    <w:charset w:val="00"/>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Inter" w:hAnsi="Inter"/>
        <w:color w:val="46697F"/>
        <w:sz w:val="15"/>
      </w:rPr>
      <w:t xml:space="preserve">OCTOBER 2026   •   </w:t>
    </w:r>
    <w:r>
      <w:rPr/>
      <w:fldChar w:fldCharType="begin"/>
    </w:r>
    <w:r>
      <w:rPr/>
      <w:instrText xml:space="preserve"> PAGE </w:instrText>
    </w:r>
    <w:r>
      <w:rPr/>
      <w:fldChar w:fldCharType="separate"/>
    </w:r>
    <w:r>
      <w:rPr/>
      <w:t>128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2" w:color="B8CBD5"/>
      </w:pBdr>
      <w:jc w:val="right"/>
      <w:rPr/>
    </w:pPr>
    <w:r>
      <w:rPr>
        <w:rFonts w:ascii="Inter" w:hAnsi="Inter"/>
        <w:b/>
        <w:color w:val="46697F"/>
        <w:sz w:val="15"/>
      </w:rPr>
      <w:t>VOXONOMICS  •  FINAL WHITEPAPER  •  EDITION 3.3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9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 w:numId="535">
    <w:abstractNumId w:val="535"/>
  </w:num>
  <w:num w:numId="536">
    <w:abstractNumId w:val="536"/>
  </w:num>
  <w:num w:numId="537">
    <w:abstractNumId w:val="537"/>
  </w:num>
  <w:num w:numId="538">
    <w:abstractNumId w:val="538"/>
  </w:num>
  <w:num w:numId="539">
    <w:abstractNumId w:val="539"/>
  </w:num>
  <w:num w:numId="540">
    <w:abstractNumId w:val="540"/>
  </w:num>
  <w:num w:numId="541">
    <w:abstractNumId w:val="541"/>
  </w:num>
  <w:num w:numId="542">
    <w:abstractNumId w:val="542"/>
  </w:num>
  <w:num w:numId="543">
    <w:abstractNumId w:val="543"/>
  </w:num>
  <w:num w:numId="544">
    <w:abstractNumId w:val="544"/>
  </w:num>
  <w:num w:numId="545">
    <w:abstractNumId w:val="545"/>
  </w:num>
  <w:num w:numId="546">
    <w:abstractNumId w:val="546"/>
  </w:num>
  <w:num w:numId="547">
    <w:abstractNumId w:val="547"/>
  </w:num>
  <w:num w:numId="548">
    <w:abstractNumId w:val="548"/>
  </w:num>
  <w:num w:numId="549">
    <w:abstractNumId w:val="549"/>
  </w:num>
  <w:num w:numId="550">
    <w:abstractNumId w:val="550"/>
  </w:num>
  <w:num w:numId="551">
    <w:abstractNumId w:val="551"/>
  </w:num>
  <w:num w:numId="552">
    <w:abstractNumId w:val="552"/>
  </w:num>
  <w:num w:numId="553">
    <w:abstractNumId w:val="553"/>
  </w:num>
  <w:num w:numId="554">
    <w:abstractNumId w:val="554"/>
  </w:num>
  <w:num w:numId="555">
    <w:abstractNumId w:val="555"/>
  </w:num>
  <w:num w:numId="556">
    <w:abstractNumId w:val="556"/>
  </w:num>
  <w:num w:numId="557">
    <w:abstractNumId w:val="557"/>
  </w:num>
  <w:num w:numId="558">
    <w:abstractNumId w:val="558"/>
  </w:num>
  <w:num w:numId="559">
    <w:abstractNumId w:val="559"/>
  </w:num>
  <w:num w:numId="560">
    <w:abstractNumId w:val="560"/>
  </w:num>
  <w:num w:numId="561">
    <w:abstractNumId w:val="561"/>
  </w:num>
  <w:num w:numId="562">
    <w:abstractNumId w:val="562"/>
  </w:num>
  <w:num w:numId="563">
    <w:abstractNumId w:val="563"/>
  </w:num>
  <w:num w:numId="564">
    <w:abstractNumId w:val="564"/>
  </w:num>
  <w:num w:numId="565">
    <w:abstractNumId w:val="565"/>
  </w:num>
  <w:num w:numId="566">
    <w:abstractNumId w:val="566"/>
  </w:num>
  <w:num w:numId="567">
    <w:abstractNumId w:val="567"/>
  </w:num>
  <w:num w:numId="568">
    <w:abstractNumId w:val="568"/>
  </w:num>
  <w:num w:numId="569">
    <w:abstractNumId w:val="569"/>
  </w:num>
  <w:num w:numId="570">
    <w:abstractNumId w:val="570"/>
  </w:num>
  <w:num w:numId="571">
    <w:abstractNumId w:val="571"/>
  </w:num>
  <w:num w:numId="572">
    <w:abstractNumId w:val="572"/>
  </w:num>
  <w:num w:numId="573">
    <w:abstractNumId w:val="573"/>
  </w:num>
  <w:num w:numId="574">
    <w:abstractNumId w:val="574"/>
  </w:num>
  <w:num w:numId="575">
    <w:abstractNumId w:val="575"/>
  </w:num>
  <w:num w:numId="576">
    <w:abstractNumId w:val="576"/>
  </w:num>
  <w:num w:numId="577">
    <w:abstractNumId w:val="577"/>
  </w:num>
  <w:num w:numId="578">
    <w:abstractNumId w:val="578"/>
  </w:num>
  <w:num w:numId="579">
    <w:abstractNumId w:val="579"/>
  </w:num>
  <w:num w:numId="580">
    <w:abstractNumId w:val="580"/>
  </w:num>
  <w:num w:numId="581">
    <w:abstractNumId w:val="581"/>
  </w:num>
  <w:num w:numId="582">
    <w:abstractNumId w:val="582"/>
  </w:num>
  <w:num w:numId="583">
    <w:abstractNumId w:val="583"/>
  </w:num>
  <w:num w:numId="584">
    <w:abstractNumId w:val="584"/>
  </w:num>
  <w:num w:numId="585">
    <w:abstractNumId w:val="585"/>
  </w:num>
  <w:num w:numId="586">
    <w:abstractNumId w:val="586"/>
  </w:num>
  <w:num w:numId="587">
    <w:abstractNumId w:val="587"/>
  </w:num>
  <w:num w:numId="588">
    <w:abstractNumId w:val="588"/>
  </w:num>
  <w:num w:numId="589">
    <w:abstractNumId w:val="589"/>
  </w:num>
  <w:num w:numId="590">
    <w:abstractNumId w:val="590"/>
  </w:num>
  <w:num w:numId="591">
    <w:abstractNumId w:val="591"/>
  </w:num>
  <w:num w:numId="592">
    <w:abstractNumId w:val="592"/>
  </w:num>
  <w:num w:numId="593">
    <w:abstractNumId w:val="593"/>
  </w:num>
  <w:num w:numId="594">
    <w:abstractNumId w:val="594"/>
  </w:num>
  <w:num w:numId="595">
    <w:abstractNumId w:val="595"/>
  </w:num>
  <w:num w:numId="596">
    <w:abstractNumId w:val="596"/>
  </w:num>
  <w:num w:numId="597">
    <w:abstractNumId w:val="597"/>
  </w:num>
  <w:num w:numId="598">
    <w:abstractNumId w:val="598"/>
  </w:num>
  <w:num w:numId="599">
    <w:abstractNumId w:val="599"/>
  </w:num>
  <w:num w:numId="600">
    <w:abstractNumId w:val="600"/>
  </w:num>
  <w:num w:numId="601">
    <w:abstractNumId w:val="601"/>
  </w:num>
  <w:num w:numId="602">
    <w:abstractNumId w:val="602"/>
  </w:num>
  <w:num w:numId="603">
    <w:abstractNumId w:val="603"/>
  </w:num>
  <w:num w:numId="604">
    <w:abstractNumId w:val="604"/>
  </w:num>
  <w:num w:numId="605">
    <w:abstractNumId w:val="605"/>
  </w:num>
  <w:num w:numId="606">
    <w:abstractNumId w:val="606"/>
  </w:num>
  <w:num w:numId="607">
    <w:abstractNumId w:val="607"/>
  </w:num>
  <w:num w:numId="608">
    <w:abstractNumId w:val="608"/>
  </w:num>
  <w:num w:numId="609">
    <w:abstractNumId w:val="609"/>
  </w:num>
  <w:num w:numId="610">
    <w:abstractNumId w:val="610"/>
  </w:num>
  <w:num w:numId="611">
    <w:abstractNumId w:val="611"/>
  </w:num>
  <w:num w:numId="612">
    <w:abstractNumId w:val="612"/>
  </w:num>
  <w:num w:numId="613">
    <w:abstractNumId w:val="613"/>
  </w:num>
  <w:num w:numId="614">
    <w:abstractNumId w:val="614"/>
  </w:num>
  <w:num w:numId="615">
    <w:abstractNumId w:val="615"/>
  </w:num>
  <w:num w:numId="616">
    <w:abstractNumId w:val="616"/>
  </w:num>
  <w:num w:numId="617">
    <w:abstractNumId w:val="617"/>
  </w:num>
  <w:num w:numId="618">
    <w:abstractNumId w:val="618"/>
  </w:num>
  <w:num w:numId="619">
    <w:abstractNumId w:val="619"/>
  </w:num>
  <w:num w:numId="620">
    <w:abstractNumId w:val="620"/>
  </w:num>
  <w:num w:numId="621">
    <w:abstractNumId w:val="621"/>
  </w:num>
  <w:num w:numId="622">
    <w:abstractNumId w:val="622"/>
  </w:num>
  <w:num w:numId="623">
    <w:abstractNumId w:val="623"/>
  </w:num>
  <w:num w:numId="624">
    <w:abstractNumId w:val="624"/>
  </w:num>
  <w:num w:numId="625">
    <w:abstractNumId w:val="625"/>
  </w:num>
  <w:num w:numId="626">
    <w:abstractNumId w:val="626"/>
  </w:num>
  <w:num w:numId="627">
    <w:abstractNumId w:val="627"/>
  </w:num>
  <w:num w:numId="628">
    <w:abstractNumId w:val="628"/>
  </w:num>
  <w:num w:numId="629">
    <w:abstractNumId w:val="629"/>
  </w:num>
  <w:num w:numId="630">
    <w:abstractNumId w:val="630"/>
  </w:num>
  <w:num w:numId="631">
    <w:abstractNumId w:val="631"/>
  </w:num>
  <w:num w:numId="632">
    <w:abstractNumId w:val="632"/>
  </w:num>
  <w:num w:numId="633">
    <w:abstractNumId w:val="633"/>
  </w:num>
  <w:num w:numId="634">
    <w:abstractNumId w:val="634"/>
  </w:num>
  <w:num w:numId="635">
    <w:abstractNumId w:val="635"/>
  </w:num>
  <w:num w:numId="636">
    <w:abstractNumId w:val="636"/>
  </w:num>
  <w:num w:numId="637">
    <w:abstractNumId w:val="637"/>
  </w:num>
  <w:num w:numId="638">
    <w:abstractNumId w:val="638"/>
  </w:num>
  <w:num w:numId="639">
    <w:abstractNumId w:val="639"/>
  </w:num>
  <w:num w:numId="640">
    <w:abstractNumId w:val="640"/>
  </w:num>
  <w:num w:numId="641">
    <w:abstractNumId w:val="641"/>
  </w:num>
  <w:num w:numId="642">
    <w:abstractNumId w:val="642"/>
  </w:num>
  <w:num w:numId="643">
    <w:abstractNumId w:val="643"/>
  </w:num>
  <w:num w:numId="644">
    <w:abstractNumId w:val="644"/>
  </w:num>
  <w:num w:numId="645">
    <w:abstractNumId w:val="645"/>
  </w:num>
  <w:num w:numId="646">
    <w:abstractNumId w:val="646"/>
  </w:num>
  <w:num w:numId="647">
    <w:abstractNumId w:val="647"/>
  </w:num>
  <w:num w:numId="648">
    <w:abstractNumId w:val="648"/>
  </w:num>
  <w:num w:numId="649">
    <w:abstractNumId w:val="649"/>
  </w:num>
  <w:num w:numId="650">
    <w:abstractNumId w:val="650"/>
  </w:num>
  <w:num w:numId="651">
    <w:abstractNumId w:val="651"/>
  </w:num>
  <w:num w:numId="652">
    <w:abstractNumId w:val="652"/>
  </w:num>
  <w:num w:numId="653">
    <w:abstractNumId w:val="653"/>
  </w:num>
  <w:num w:numId="654">
    <w:abstractNumId w:val="654"/>
  </w:num>
  <w:num w:numId="655">
    <w:abstractNumId w:val="655"/>
  </w:num>
  <w:num w:numId="656">
    <w:abstractNumId w:val="656"/>
  </w:num>
  <w:num w:numId="657">
    <w:abstractNumId w:val="657"/>
  </w:num>
  <w:num w:numId="658">
    <w:abstractNumId w:val="658"/>
  </w:num>
  <w:num w:numId="659">
    <w:abstractNumId w:val="659"/>
  </w:num>
  <w:num w:numId="660">
    <w:abstractNumId w:val="660"/>
  </w:num>
  <w:num w:numId="661">
    <w:abstractNumId w:val="661"/>
  </w:num>
  <w:num w:numId="662">
    <w:abstractNumId w:val="662"/>
  </w:num>
  <w:num w:numId="663">
    <w:abstractNumId w:val="663"/>
  </w:num>
  <w:num w:numId="664">
    <w:abstractNumId w:val="664"/>
  </w:num>
  <w:num w:numId="665">
    <w:abstractNumId w:val="665"/>
  </w:num>
  <w:num w:numId="666">
    <w:abstractNumId w:val="666"/>
  </w:num>
  <w:num w:numId="667">
    <w:abstractNumId w:val="667"/>
  </w:num>
  <w:num w:numId="668">
    <w:abstractNumId w:val="668"/>
  </w:num>
  <w:num w:numId="669">
    <w:abstractNumId w:val="669"/>
  </w:num>
  <w:num w:numId="670">
    <w:abstractNumId w:val="670"/>
  </w:num>
  <w:num w:numId="671">
    <w:abstractNumId w:val="671"/>
  </w:num>
  <w:num w:numId="672">
    <w:abstractNumId w:val="672"/>
  </w:num>
  <w:num w:numId="673">
    <w:abstractNumId w:val="673"/>
  </w:num>
  <w:num w:numId="674">
    <w:abstractNumId w:val="674"/>
  </w:num>
  <w:num w:numId="675">
    <w:abstractNumId w:val="675"/>
  </w:num>
  <w:num w:numId="676">
    <w:abstractNumId w:val="676"/>
  </w:num>
  <w:num w:numId="677">
    <w:abstractNumId w:val="677"/>
  </w:num>
  <w:num w:numId="678">
    <w:abstractNumId w:val="678"/>
  </w:num>
  <w:num w:numId="679">
    <w:abstractNumId w:val="679"/>
  </w:num>
  <w:num w:numId="680">
    <w:abstractNumId w:val="680"/>
  </w:num>
  <w:num w:numId="681">
    <w:abstractNumId w:val="681"/>
  </w:num>
  <w:num w:numId="682">
    <w:abstractNumId w:val="682"/>
  </w:num>
  <w:num w:numId="683">
    <w:abstractNumId w:val="683"/>
  </w:num>
  <w:num w:numId="684">
    <w:abstractNumId w:val="684"/>
  </w:num>
  <w:num w:numId="685">
    <w:abstractNumId w:val="685"/>
  </w:num>
  <w:num w:numId="686">
    <w:abstractNumId w:val="686"/>
  </w:num>
  <w:num w:numId="687">
    <w:abstractNumId w:val="687"/>
  </w:num>
  <w:num w:numId="688">
    <w:abstractNumId w:val="688"/>
  </w:num>
  <w:num w:numId="689">
    <w:abstractNumId w:val="689"/>
  </w:num>
  <w:num w:numId="690">
    <w:abstractNumId w:val="690"/>
  </w:num>
  <w:num w:numId="691">
    <w:abstractNumId w:val="691"/>
  </w:num>
  <w:num w:numId="692">
    <w:abstractNumId w:val="692"/>
  </w:num>
  <w:num w:numId="693">
    <w:abstractNumId w:val="693"/>
  </w:num>
  <w:num w:numId="694">
    <w:abstractNumId w:val="694"/>
  </w:num>
  <w:num w:numId="695">
    <w:abstractNumId w:val="695"/>
  </w:num>
  <w:num w:numId="696">
    <w:abstractNumId w:val="696"/>
  </w:num>
  <w:num w:numId="697">
    <w:abstractNumId w:val="697"/>
  </w:num>
  <w:num w:numId="698">
    <w:abstractNumId w:val="698"/>
  </w:num>
  <w:num w:numId="699">
    <w:abstractNumId w:val="699"/>
  </w:num>
  <w:num w:numId="700">
    <w:abstractNumId w:val="700"/>
  </w:num>
  <w:num w:numId="701">
    <w:abstractNumId w:val="701"/>
  </w:num>
  <w:num w:numId="702">
    <w:abstractNumId w:val="702"/>
  </w:num>
  <w:num w:numId="703">
    <w:abstractNumId w:val="703"/>
  </w:num>
  <w:num w:numId="704">
    <w:abstractNumId w:val="704"/>
  </w:num>
  <w:num w:numId="705">
    <w:abstractNumId w:val="705"/>
  </w:num>
  <w:num w:numId="706">
    <w:abstractNumId w:val="706"/>
  </w:num>
  <w:num w:numId="707">
    <w:abstractNumId w:val="707"/>
  </w:num>
  <w:num w:numId="708">
    <w:abstractNumId w:val="708"/>
  </w:num>
  <w:num w:numId="709">
    <w:abstractNumId w:val="709"/>
  </w:num>
  <w:num w:numId="710">
    <w:abstractNumId w:val="710"/>
  </w:num>
  <w:num w:numId="711">
    <w:abstractNumId w:val="711"/>
  </w:num>
  <w:num w:numId="712">
    <w:abstractNumId w:val="712"/>
  </w:num>
  <w:num w:numId="713">
    <w:abstractNumId w:val="713"/>
  </w:num>
  <w:num w:numId="714">
    <w:abstractNumId w:val="714"/>
  </w:num>
  <w:num w:numId="715">
    <w:abstractNumId w:val="715"/>
  </w:num>
  <w:num w:numId="716">
    <w:abstractNumId w:val="716"/>
  </w:num>
  <w:num w:numId="717">
    <w:abstractNumId w:val="717"/>
  </w:num>
  <w:num w:numId="718">
    <w:abstractNumId w:val="718"/>
  </w:num>
  <w:num w:numId="719">
    <w:abstractNumId w:val="719"/>
  </w:num>
  <w:num w:numId="720">
    <w:abstractNumId w:val="720"/>
  </w:num>
  <w:num w:numId="721">
    <w:abstractNumId w:val="721"/>
  </w:num>
  <w:num w:numId="722">
    <w:abstractNumId w:val="722"/>
  </w:num>
  <w:num w:numId="723">
    <w:abstractNumId w:val="723"/>
  </w:num>
  <w:num w:numId="724">
    <w:abstractNumId w:val="724"/>
  </w:num>
  <w:num w:numId="725">
    <w:abstractNumId w:val="725"/>
  </w:num>
  <w:num w:numId="726">
    <w:abstractNumId w:val="726"/>
  </w:num>
  <w:num w:numId="727">
    <w:abstractNumId w:val="727"/>
  </w:num>
  <w:num w:numId="728">
    <w:abstractNumId w:val="728"/>
  </w:num>
  <w:num w:numId="729">
    <w:abstractNumId w:val="729"/>
  </w:num>
  <w:num w:numId="730">
    <w:abstractNumId w:val="730"/>
  </w:num>
  <w:num w:numId="731">
    <w:abstractNumId w:val="731"/>
  </w:num>
  <w:num w:numId="732">
    <w:abstractNumId w:val="732"/>
  </w:num>
  <w:num w:numId="733">
    <w:abstractNumId w:val="733"/>
  </w:num>
  <w:num w:numId="734">
    <w:abstractNumId w:val="734"/>
  </w:num>
  <w:num w:numId="735">
    <w:abstractNumId w:val="735"/>
  </w:num>
  <w:num w:numId="736">
    <w:abstractNumId w:val="736"/>
  </w:num>
  <w:num w:numId="737">
    <w:abstractNumId w:val="737"/>
  </w:num>
  <w:num w:numId="738">
    <w:abstractNumId w:val="738"/>
  </w:num>
  <w:num w:numId="739">
    <w:abstractNumId w:val="739"/>
  </w:num>
  <w:num w:numId="740">
    <w:abstractNumId w:val="740"/>
  </w:num>
  <w:num w:numId="741">
    <w:abstractNumId w:val="741"/>
  </w:num>
  <w:num w:numId="742">
    <w:abstractNumId w:val="742"/>
  </w:num>
  <w:num w:numId="743">
    <w:abstractNumId w:val="743"/>
  </w:num>
  <w:num w:numId="744">
    <w:abstractNumId w:val="744"/>
  </w:num>
  <w:num w:numId="745">
    <w:abstractNumId w:val="745"/>
  </w:num>
  <w:num w:numId="746">
    <w:abstractNumId w:val="746"/>
  </w:num>
  <w:num w:numId="747">
    <w:abstractNumId w:val="747"/>
  </w:num>
  <w:num w:numId="748">
    <w:abstractNumId w:val="748"/>
  </w:num>
  <w:num w:numId="749">
    <w:abstractNumId w:val="749"/>
  </w:num>
  <w:num w:numId="750">
    <w:abstractNumId w:val="750"/>
  </w:num>
  <w:num w:numId="751">
    <w:abstractNumId w:val="751"/>
  </w:num>
  <w:num w:numId="752">
    <w:abstractNumId w:val="752"/>
  </w:num>
  <w:num w:numId="753">
    <w:abstractNumId w:val="753"/>
  </w:num>
  <w:num w:numId="754">
    <w:abstractNumId w:val="754"/>
  </w:num>
  <w:num w:numId="755">
    <w:abstractNumId w:val="755"/>
  </w:num>
  <w:num w:numId="756">
    <w:abstractNumId w:val="756"/>
  </w:num>
  <w:num w:numId="757">
    <w:abstractNumId w:val="757"/>
  </w:num>
  <w:num w:numId="758">
    <w:abstractNumId w:val="758"/>
  </w:num>
  <w:num w:numId="759">
    <w:abstractNumId w:val="759"/>
  </w:num>
  <w:num w:numId="760">
    <w:abstractNumId w:val="760"/>
  </w:num>
  <w:num w:numId="761">
    <w:abstractNumId w:val="761"/>
  </w:num>
  <w:num w:numId="762">
    <w:abstractNumId w:val="762"/>
  </w:num>
  <w:num w:numId="763">
    <w:abstractNumId w:val="763"/>
  </w:num>
  <w:num w:numId="764">
    <w:abstractNumId w:val="764"/>
  </w:num>
  <w:num w:numId="765">
    <w:abstractNumId w:val="765"/>
  </w:num>
  <w:num w:numId="766">
    <w:abstractNumId w:val="766"/>
  </w:num>
  <w:num w:numId="767">
    <w:abstractNumId w:val="767"/>
  </w:num>
  <w:num w:numId="768">
    <w:abstractNumId w:val="768"/>
  </w:num>
  <w:num w:numId="769">
    <w:abstractNumId w:val="769"/>
  </w:num>
  <w:num w:numId="770">
    <w:abstractNumId w:val="770"/>
  </w:num>
  <w:num w:numId="771">
    <w:abstractNumId w:val="771"/>
  </w:num>
  <w:num w:numId="772">
    <w:abstractNumId w:val="772"/>
  </w:num>
  <w:num w:numId="773">
    <w:abstractNumId w:val="773"/>
  </w:num>
  <w:num w:numId="774">
    <w:abstractNumId w:val="774"/>
  </w:num>
  <w:num w:numId="775">
    <w:abstractNumId w:val="775"/>
  </w:num>
  <w:num w:numId="776">
    <w:abstractNumId w:val="776"/>
  </w:num>
  <w:num w:numId="777">
    <w:abstractNumId w:val="777"/>
  </w:num>
  <w:num w:numId="778">
    <w:abstractNumId w:val="778"/>
  </w:num>
  <w:num w:numId="779">
    <w:abstractNumId w:val="779"/>
  </w:num>
  <w:num w:numId="780">
    <w:abstractNumId w:val="780"/>
  </w:num>
  <w:num w:numId="781">
    <w:abstractNumId w:val="781"/>
  </w:num>
  <w:num w:numId="782">
    <w:abstractNumId w:val="782"/>
  </w:num>
  <w:num w:numId="783">
    <w:abstractNumId w:val="783"/>
  </w:num>
  <w:num w:numId="784">
    <w:abstractNumId w:val="784"/>
  </w:num>
  <w:num w:numId="785">
    <w:abstractNumId w:val="785"/>
  </w:num>
  <w:num w:numId="786">
    <w:abstractNumId w:val="786"/>
  </w:num>
  <w:num w:numId="787">
    <w:abstractNumId w:val="7"/>
  </w:num>
  <w:num w:numId="788">
    <w:abstractNumId w:val="7"/>
  </w:num>
  <w:num w:numId="789">
    <w:abstractNumId w:val="7"/>
  </w:num>
  <w:num w:numId="790">
    <w:abstractNumId w:val="7"/>
  </w:num>
  <w:num w:numId="791">
    <w:abstractNumId w:val="7"/>
  </w:num>
  <w:num w:numId="792">
    <w:abstractNumId w:val="7"/>
  </w:num>
  <w:num w:numId="793">
    <w:abstractNumId w:val="7"/>
  </w:num>
  <w:num w:numId="794">
    <w:abstractNumId w:val="7"/>
  </w:num>
  <w:num w:numId="795">
    <w:abstractNumId w:val="7"/>
  </w:num>
  <w:num w:numId="796">
    <w:abstractNumId w:val="7"/>
  </w:num>
  <w:num w:numId="797">
    <w:abstractNumId w:val="7"/>
  </w:num>
  <w:num w:numId="798">
    <w:abstractNumId w:val="7"/>
  </w:num>
  <w:num w:numId="799">
    <w:abstractNumId w:val="7"/>
  </w:num>
  <w:num w:numId="800">
    <w:abstractNumId w:val="7"/>
  </w:num>
  <w:num w:numId="801">
    <w:abstractNumId w:val="7"/>
  </w:num>
  <w:num w:numId="802">
    <w:abstractNumId w:val="7"/>
  </w:num>
  <w:num w:numId="803">
    <w:abstractNumId w:val="7"/>
  </w:num>
  <w:num w:numId="804">
    <w:abstractNumId w:val="7"/>
  </w:num>
  <w:num w:numId="805">
    <w:abstractNumId w:val="7"/>
  </w:num>
  <w:num w:numId="806">
    <w:abstractNumId w:val="7"/>
  </w:num>
  <w:num w:numId="807">
    <w:abstractNumId w:val="7"/>
  </w:num>
  <w:num w:numId="808">
    <w:abstractNumId w:val="7"/>
  </w:num>
  <w:num w:numId="809">
    <w:abstractNumId w:val="7"/>
  </w:num>
  <w:num w:numId="810">
    <w:abstractNumId w:val="7"/>
  </w:num>
  <w:num w:numId="811">
    <w:abstractNumId w:val="7"/>
  </w:num>
  <w:num w:numId="812">
    <w:abstractNumId w:val="7"/>
  </w:num>
  <w:num w:numId="813">
    <w:abstractNumId w:val="7"/>
  </w:num>
  <w:num w:numId="814">
    <w:abstractNumId w:val="35"/>
    <w:lvlOverride w:ilvl="0">
      <w:startOverride w:val="1"/>
    </w:lvlOverride>
  </w:num>
  <w:num w:numId="815">
    <w:abstractNumId w:val="35"/>
  </w:num>
  <w:num w:numId="816">
    <w:abstractNumId w:val="35"/>
  </w:num>
  <w:num w:numId="817">
    <w:abstractNumId w:val="35"/>
    <w:lvlOverride w:ilvl="0">
      <w:startOverride w:val="1"/>
    </w:lvlOverride>
  </w:num>
  <w:num w:numId="818">
    <w:abstractNumId w:val="35"/>
  </w:num>
  <w:num w:numId="819">
    <w:abstractNumId w:val="35"/>
  </w:num>
  <w:num w:numId="820">
    <w:abstractNumId w:val="35"/>
  </w:num>
  <w:num w:numId="821">
    <w:abstractNumId w:val="35"/>
  </w:num>
  <w:num w:numId="822">
    <w:abstractNumId w:val="35"/>
  </w:num>
  <w:num w:numId="823">
    <w:abstractNumId w:val="7"/>
  </w:num>
  <w:num w:numId="824">
    <w:abstractNumId w:val="7"/>
  </w:num>
  <w:num w:numId="825">
    <w:abstractNumId w:val="7"/>
  </w:num>
  <w:num w:numId="826">
    <w:abstractNumId w:val="7"/>
  </w:num>
  <w:num w:numId="827">
    <w:abstractNumId w:val="7"/>
  </w:num>
  <w:num w:numId="828">
    <w:abstractNumId w:val="7"/>
  </w:num>
  <w:num w:numId="829">
    <w:abstractNumId w:val="7"/>
  </w:num>
  <w:num w:numId="830">
    <w:abstractNumId w:val="7"/>
  </w:num>
  <w:num w:numId="831">
    <w:abstractNumId w:val="7"/>
  </w:num>
  <w:num w:numId="832">
    <w:abstractNumId w:val="7"/>
  </w:num>
  <w:num w:numId="833">
    <w:abstractNumId w:val="7"/>
  </w:num>
  <w:num w:numId="834">
    <w:abstractNumId w:val="7"/>
  </w:num>
  <w:num w:numId="835">
    <w:abstractNumId w:val="7"/>
  </w:num>
  <w:num w:numId="836">
    <w:abstractNumId w:val="7"/>
  </w:num>
  <w:num w:numId="837">
    <w:abstractNumId w:val="7"/>
  </w:num>
  <w:num w:numId="838">
    <w:abstractNumId w:val="35"/>
    <w:lvlOverride w:ilvl="0">
      <w:startOverride w:val="1"/>
    </w:lvlOverride>
  </w:num>
  <w:num w:numId="839">
    <w:abstractNumId w:val="35"/>
  </w:num>
  <w:num w:numId="840">
    <w:abstractNumId w:val="35"/>
  </w:num>
  <w:num w:numId="841">
    <w:abstractNumId w:val="35"/>
  </w:num>
  <w:num w:numId="842">
    <w:abstractNumId w:val="35"/>
  </w:num>
  <w:num w:numId="843">
    <w:abstractNumId w:val="35"/>
  </w:num>
  <w:num w:numId="844">
    <w:abstractNumId w:val="35"/>
  </w:num>
  <w:num w:numId="845">
    <w:abstractNumId w:val="35"/>
  </w:num>
  <w:num w:numId="846">
    <w:abstractNumId w:val="35"/>
    <w:lvlOverride w:ilvl="0">
      <w:startOverride w:val="1"/>
    </w:lvlOverride>
  </w:num>
  <w:num w:numId="847">
    <w:abstractNumId w:val="35"/>
  </w:num>
  <w:num w:numId="848">
    <w:abstractNumId w:val="35"/>
  </w:num>
  <w:num w:numId="849">
    <w:abstractNumId w:val="35"/>
  </w:num>
  <w:num w:numId="850">
    <w:abstractNumId w:val="35"/>
  </w:num>
  <w:num w:numId="851">
    <w:abstractNumId w:val="35"/>
  </w:num>
  <w:num w:numId="852">
    <w:abstractNumId w:val="7"/>
  </w:num>
  <w:num w:numId="853">
    <w:abstractNumId w:val="7"/>
  </w:num>
  <w:num w:numId="854">
    <w:abstractNumId w:val="7"/>
  </w:num>
  <w:num w:numId="855">
    <w:abstractNumId w:val="7"/>
  </w:num>
  <w:num w:numId="856">
    <w:abstractNumId w:val="7"/>
  </w:num>
  <w:num w:numId="857">
    <w:abstractNumId w:val="7"/>
  </w:num>
  <w:num w:numId="858">
    <w:abstractNumId w:val="7"/>
  </w:num>
  <w:num w:numId="859">
    <w:abstractNumId w:val="7"/>
  </w:num>
  <w:num w:numId="860">
    <w:abstractNumId w:val="7"/>
  </w:num>
  <w:num w:numId="861">
    <w:abstractNumId w:val="7"/>
  </w:num>
  <w:num w:numId="862">
    <w:abstractNumId w:val="7"/>
  </w:num>
  <w:num w:numId="863">
    <w:abstractNumId w:val="7"/>
  </w:num>
  <w:num w:numId="864">
    <w:abstractNumId w:val="7"/>
  </w:num>
  <w:num w:numId="865">
    <w:abstractNumId w:val="7"/>
  </w:num>
  <w:num w:numId="866">
    <w:abstractNumId w:val="7"/>
  </w:num>
  <w:num w:numId="867">
    <w:abstractNumId w:val="7"/>
  </w:num>
  <w:num w:numId="868">
    <w:abstractNumId w:val="7"/>
  </w:num>
  <w:num w:numId="869">
    <w:abstractNumId w:val="7"/>
  </w:num>
  <w:num w:numId="870">
    <w:abstractNumId w:val="7"/>
  </w:num>
  <w:num w:numId="871">
    <w:abstractNumId w:val="7"/>
  </w:num>
  <w:num w:numId="872">
    <w:abstractNumId w:val="7"/>
  </w:num>
  <w:num w:numId="873">
    <w:abstractNumId w:val="7"/>
  </w:num>
  <w:num w:numId="874">
    <w:abstractNumId w:val="7"/>
  </w:num>
  <w:num w:numId="875">
    <w:abstractNumId w:val="7"/>
  </w:num>
  <w:num w:numId="876">
    <w:abstractNumId w:val="7"/>
  </w:num>
  <w:num w:numId="877">
    <w:abstractNumId w:val="35"/>
    <w:lvlOverride w:ilvl="0">
      <w:startOverride w:val="1"/>
    </w:lvlOverride>
  </w:num>
  <w:num w:numId="878">
    <w:abstractNumId w:val="35"/>
  </w:num>
  <w:num w:numId="879">
    <w:abstractNumId w:val="35"/>
  </w:num>
  <w:num w:numId="880">
    <w:abstractNumId w:val="35"/>
  </w:num>
  <w:num w:numId="881">
    <w:abstractNumId w:val="7"/>
  </w:num>
  <w:num w:numId="882">
    <w:abstractNumId w:val="7"/>
  </w:num>
  <w:num w:numId="883">
    <w:abstractNumId w:val="7"/>
  </w:num>
  <w:num w:numId="884">
    <w:abstractNumId w:val="7"/>
  </w:num>
  <w:num w:numId="885">
    <w:abstractNumId w:val="7"/>
  </w:num>
  <w:num w:numId="886">
    <w:abstractNumId w:val="7"/>
  </w:num>
  <w:num w:numId="887">
    <w:abstractNumId w:val="7"/>
  </w:num>
  <w:num w:numId="888">
    <w:abstractNumId w:val="7"/>
  </w:num>
  <w:num w:numId="889">
    <w:abstractNumId w:val="7"/>
  </w:num>
  <w:num w:numId="890">
    <w:abstractNumId w:val="35"/>
    <w:lvlOverride w:ilvl="0">
      <w:startOverride w:val="1"/>
    </w:lvlOverride>
  </w:num>
  <w:num w:numId="891">
    <w:abstractNumId w:val="35"/>
  </w:num>
  <w:num w:numId="892">
    <w:abstractNumId w:val="35"/>
  </w:num>
  <w:num w:numId="893">
    <w:abstractNumId w:val="35"/>
  </w:num>
  <w:num w:numId="894">
    <w:abstractNumId w:val="35"/>
  </w:num>
  <w:num w:numId="895">
    <w:abstractNumId w:val="35"/>
  </w:num>
  <w:num w:numId="896">
    <w:abstractNumId w:val="35"/>
  </w:num>
  <w:num w:numId="897">
    <w:abstractNumId w:val="7"/>
  </w:num>
  <w:num w:numId="898">
    <w:abstractNumId w:val="7"/>
  </w:num>
  <w:num w:numId="899">
    <w:abstractNumId w:val="7"/>
  </w:num>
  <w:num w:numId="900">
    <w:abstractNumId w:val="7"/>
  </w:num>
  <w:num w:numId="901">
    <w:abstractNumId w:val="7"/>
  </w:num>
  <w:num w:numId="902">
    <w:abstractNumId w:val="7"/>
  </w:num>
  <w:num w:numId="903">
    <w:abstractNumId w:val="7"/>
  </w:num>
  <w:num w:numId="904">
    <w:abstractNumId w:val="7"/>
  </w:num>
  <w:num w:numId="905">
    <w:abstractNumId w:val="7"/>
  </w:num>
  <w:num w:numId="906">
    <w:abstractNumId w:val="7"/>
  </w:num>
  <w:num w:numId="907">
    <w:abstractNumId w:val="7"/>
  </w:num>
  <w:num w:numId="908">
    <w:abstractNumId w:val="7"/>
  </w:num>
  <w:num w:numId="909">
    <w:abstractNumId w:val="7"/>
  </w:num>
  <w:num w:numId="910">
    <w:abstractNumId w:val="7"/>
  </w:num>
  <w:num w:numId="911">
    <w:abstractNumId w:val="7"/>
  </w:num>
  <w:num w:numId="912">
    <w:abstractNumId w:val="7"/>
  </w:num>
  <w:num w:numId="913">
    <w:abstractNumId w:val="7"/>
  </w:num>
  <w:num w:numId="914">
    <w:abstractNumId w:val="7"/>
  </w:num>
  <w:num w:numId="915">
    <w:abstractNumId w:val="7"/>
  </w:num>
  <w:num w:numId="916">
    <w:abstractNumId w:val="7"/>
  </w:num>
  <w:num w:numId="917">
    <w:abstractNumId w:val="7"/>
  </w:num>
  <w:num w:numId="918">
    <w:abstractNumId w:val="7"/>
  </w:num>
  <w:num w:numId="919">
    <w:abstractNumId w:val="7"/>
  </w:num>
  <w:num w:numId="920">
    <w:abstractNumId w:val="7"/>
  </w:num>
  <w:num w:numId="921">
    <w:abstractNumId w:val="7"/>
  </w:num>
  <w:num w:numId="922">
    <w:abstractNumId w:val="7"/>
  </w:num>
  <w:num w:numId="923">
    <w:abstractNumId w:val="7"/>
  </w:num>
  <w:num w:numId="924">
    <w:abstractNumId w:val="7"/>
  </w:num>
  <w:num w:numId="925">
    <w:abstractNumId w:val="7"/>
  </w:num>
  <w:num w:numId="926">
    <w:abstractNumId w:val="7"/>
  </w:num>
  <w:num w:numId="927">
    <w:abstractNumId w:val="7"/>
  </w:num>
  <w:num w:numId="928">
    <w:abstractNumId w:val="7"/>
  </w:num>
  <w:num w:numId="929">
    <w:abstractNumId w:val="7"/>
  </w:num>
  <w:num w:numId="930">
    <w:abstractNumId w:val="7"/>
  </w:num>
  <w:num w:numId="931">
    <w:abstractNumId w:val="7"/>
  </w:num>
  <w:num w:numId="932">
    <w:abstractNumId w:val="7"/>
  </w:num>
  <w:num w:numId="933">
    <w:abstractNumId w:val="7"/>
  </w:num>
  <w:num w:numId="934">
    <w:abstractNumId w:val="7"/>
  </w:num>
  <w:num w:numId="935">
    <w:abstractNumId w:val="7"/>
  </w:num>
  <w:num w:numId="936">
    <w:abstractNumId w:val="7"/>
  </w:num>
  <w:num w:numId="937">
    <w:abstractNumId w:val="7"/>
  </w:num>
  <w:num w:numId="938">
    <w:abstractNumId w:val="7"/>
  </w:num>
  <w:num w:numId="939">
    <w:abstractNumId w:val="7"/>
  </w:num>
  <w:num w:numId="940">
    <w:abstractNumId w:val="7"/>
  </w:num>
  <w:num w:numId="941">
    <w:abstractNumId w:val="7"/>
  </w:num>
  <w:num w:numId="942">
    <w:abstractNumId w:val="7"/>
  </w:num>
  <w:num w:numId="943">
    <w:abstractNumId w:val="7"/>
  </w:num>
  <w:num w:numId="944">
    <w:abstractNumId w:val="7"/>
  </w:num>
  <w:num w:numId="945">
    <w:abstractNumId w:val="7"/>
  </w:num>
  <w:num w:numId="946">
    <w:abstractNumId w:val="7"/>
  </w:num>
  <w:num w:numId="947">
    <w:abstractNumId w:val="7"/>
  </w:num>
  <w:num w:numId="948">
    <w:abstractNumId w:val="7"/>
  </w:num>
  <w:num w:numId="949">
    <w:abstractNumId w:val="7"/>
  </w:num>
  <w:num w:numId="950">
    <w:abstractNumId w:val="7"/>
  </w:num>
  <w:num w:numId="951">
    <w:abstractNumId w:val="7"/>
  </w:num>
  <w:num w:numId="952">
    <w:abstractNumId w:val="7"/>
  </w:num>
  <w:num w:numId="953">
    <w:abstractNumId w:val="7"/>
  </w:num>
  <w:num w:numId="954">
    <w:abstractNumId w:val="7"/>
  </w:num>
  <w:num w:numId="955">
    <w:abstractNumId w:val="7"/>
  </w:num>
  <w:num w:numId="956">
    <w:abstractNumId w:val="7"/>
  </w:num>
  <w:num w:numId="957">
    <w:abstractNumId w:val="7"/>
  </w:num>
  <w:num w:numId="958">
    <w:abstractNumId w:val="7"/>
  </w:num>
  <w:num w:numId="959">
    <w:abstractNumId w:val="7"/>
  </w:num>
  <w:num w:numId="960">
    <w:abstractNumId w:val="7"/>
  </w:num>
  <w:num w:numId="961">
    <w:abstractNumId w:val="7"/>
  </w:num>
  <w:num w:numId="962">
    <w:abstractNumId w:val="7"/>
  </w:num>
  <w:num w:numId="963">
    <w:abstractNumId w:val="7"/>
  </w:num>
  <w:num w:numId="964">
    <w:abstractNumId w:val="7"/>
  </w:num>
  <w:num w:numId="965">
    <w:abstractNumId w:val="7"/>
  </w:num>
  <w:num w:numId="966">
    <w:abstractNumId w:val="7"/>
  </w:num>
  <w:num w:numId="967">
    <w:abstractNumId w:val="7"/>
  </w:num>
  <w:num w:numId="968">
    <w:abstractNumId w:val="7"/>
  </w:num>
  <w:num w:numId="969">
    <w:abstractNumId w:val="7"/>
  </w:num>
  <w:num w:numId="970">
    <w:abstractNumId w:val="7"/>
  </w:num>
  <w:num w:numId="971">
    <w:abstractNumId w:val="7"/>
  </w:num>
  <w:num w:numId="972">
    <w:abstractNumId w:val="7"/>
  </w:num>
  <w:num w:numId="973">
    <w:abstractNumId w:val="7"/>
  </w:num>
  <w:num w:numId="974">
    <w:abstractNumId w:val="7"/>
  </w:num>
  <w:num w:numId="975">
    <w:abstractNumId w:val="7"/>
  </w:num>
  <w:num w:numId="976">
    <w:abstractNumId w:val="7"/>
  </w:num>
  <w:num w:numId="977">
    <w:abstractNumId w:val="7"/>
  </w:num>
  <w:num w:numId="978">
    <w:abstractNumId w:val="7"/>
  </w:num>
  <w:num w:numId="979">
    <w:abstractNumId w:val="7"/>
  </w:num>
  <w:num w:numId="980">
    <w:abstractNumId w:val="7"/>
  </w:num>
  <w:num w:numId="981">
    <w:abstractNumId w:val="7"/>
  </w:num>
  <w:num w:numId="982">
    <w:abstractNumId w:val="7"/>
  </w:num>
  <w:num w:numId="983">
    <w:abstractNumId w:val="7"/>
  </w:num>
  <w:num w:numId="984">
    <w:abstractNumId w:val="7"/>
  </w:num>
  <w:num w:numId="985">
    <w:abstractNumId w:val="7"/>
  </w:num>
  <w:num w:numId="986">
    <w:abstractNumId w:val="7"/>
  </w:num>
  <w:num w:numId="987">
    <w:abstractNumId w:val="7"/>
  </w:num>
  <w:num w:numId="988">
    <w:abstractNumId w:val="7"/>
  </w:num>
  <w:num w:numId="989">
    <w:abstractNumId w:val="7"/>
  </w:num>
  <w:num w:numId="990">
    <w:abstractNumId w:val="7"/>
  </w:num>
  <w:num w:numId="991">
    <w:abstractNumId w:val="7"/>
  </w:num>
  <w:num w:numId="992">
    <w:abstractNumId w:val="7"/>
  </w:num>
  <w:num w:numId="993">
    <w:abstractNumId w:val="7"/>
  </w:num>
  <w:num w:numId="994">
    <w:abstractNumId w:val="7"/>
  </w:num>
  <w:num w:numId="995">
    <w:abstractNumId w:val="7"/>
  </w:num>
  <w:num w:numId="996">
    <w:abstractNumId w:val="7"/>
  </w:num>
  <w:num w:numId="997">
    <w:abstractNumId w:val="7"/>
  </w:num>
  <w:num w:numId="998">
    <w:abstractNumId w:val="7"/>
  </w:num>
  <w:num w:numId="999">
    <w:abstractNumId w:val="7"/>
  </w:num>
  <w:num w:numId="1000">
    <w:abstractNumId w:val="7"/>
  </w:num>
  <w:num w:numId="1001">
    <w:abstractNumId w:val="7"/>
  </w:num>
  <w:num w:numId="1002">
    <w:abstractNumId w:val="7"/>
  </w:num>
  <w:num w:numId="1003">
    <w:abstractNumId w:val="7"/>
  </w:num>
  <w:num w:numId="1004">
    <w:abstractNumId w:val="7"/>
  </w:num>
  <w:num w:numId="1005">
    <w:abstractNumId w:val="7"/>
  </w:num>
  <w:num w:numId="1006">
    <w:abstractNumId w:val="7"/>
  </w:num>
  <w:num w:numId="1007">
    <w:abstractNumId w:val="7"/>
  </w:num>
  <w:num w:numId="1008">
    <w:abstractNumId w:val="7"/>
  </w:num>
  <w:num w:numId="1009">
    <w:abstractNumId w:val="7"/>
  </w:num>
  <w:num w:numId="1010">
    <w:abstractNumId w:val="7"/>
  </w:num>
  <w:num w:numId="1011">
    <w:abstractNumId w:val="7"/>
  </w:num>
  <w:num w:numId="1012">
    <w:abstractNumId w:val="7"/>
  </w:num>
  <w:num w:numId="1013">
    <w:abstractNumId w:val="7"/>
  </w:num>
  <w:num w:numId="1014">
    <w:abstractNumId w:val="7"/>
  </w:num>
  <w:num w:numId="1015">
    <w:abstractNumId w:val="7"/>
  </w:num>
  <w:num w:numId="1016">
    <w:abstractNumId w:val="7"/>
  </w:num>
  <w:num w:numId="1017">
    <w:abstractNumId w:val="7"/>
  </w:num>
  <w:num w:numId="1018">
    <w:abstractNumId w:val="7"/>
  </w:num>
  <w:num w:numId="1019">
    <w:abstractNumId w:val="7"/>
  </w:num>
  <w:num w:numId="1020">
    <w:abstractNumId w:val="7"/>
  </w:num>
  <w:num w:numId="1021">
    <w:abstractNumId w:val="7"/>
  </w:num>
  <w:num w:numId="1022">
    <w:abstractNumId w:val="7"/>
  </w:num>
  <w:num w:numId="1023">
    <w:abstractNumId w:val="7"/>
  </w:num>
  <w:num w:numId="1024">
    <w:abstractNumId w:val="7"/>
  </w:num>
  <w:num w:numId="1025">
    <w:abstractNumId w:val="7"/>
  </w:num>
  <w:num w:numId="1026">
    <w:abstractNumId w:val="7"/>
  </w:num>
  <w:num w:numId="1027">
    <w:abstractNumId w:val="7"/>
  </w:num>
  <w:num w:numId="1028">
    <w:abstractNumId w:val="7"/>
  </w:num>
  <w:num w:numId="1029">
    <w:abstractNumId w:val="7"/>
  </w:num>
  <w:num w:numId="1030">
    <w:abstractNumId w:val="7"/>
  </w:num>
  <w:num w:numId="1031">
    <w:abstractNumId w:val="7"/>
  </w:num>
  <w:num w:numId="1032">
    <w:abstractNumId w:val="7"/>
  </w:num>
  <w:num w:numId="1033">
    <w:abstractNumId w:val="7"/>
  </w:num>
  <w:num w:numId="1034">
    <w:abstractNumId w:val="7"/>
  </w:num>
  <w:num w:numId="1035">
    <w:abstractNumId w:val="7"/>
  </w:num>
  <w:num w:numId="1036">
    <w:abstractNumId w:val="7"/>
  </w:num>
  <w:num w:numId="1037">
    <w:abstractNumId w:val="7"/>
  </w:num>
  <w:num w:numId="1038">
    <w:abstractNumId w:val="7"/>
  </w:num>
  <w:num w:numId="1039">
    <w:abstractNumId w:val="7"/>
  </w:num>
  <w:num w:numId="1040">
    <w:abstractNumId w:val="7"/>
  </w:num>
  <w:num w:numId="1041">
    <w:abstractNumId w:val="7"/>
  </w:num>
  <w:num w:numId="1042">
    <w:abstractNumId w:val="7"/>
  </w:num>
  <w:num w:numId="1043">
    <w:abstractNumId w:val="7"/>
  </w:num>
  <w:num w:numId="1044">
    <w:abstractNumId w:val="7"/>
  </w:num>
  <w:num w:numId="1045">
    <w:abstractNumId w:val="7"/>
  </w:num>
  <w:num w:numId="1046">
    <w:abstractNumId w:val="7"/>
  </w:num>
  <w:num w:numId="1047">
    <w:abstractNumId w:val="7"/>
  </w:num>
  <w:num w:numId="1048">
    <w:abstractNumId w:val="7"/>
  </w:num>
  <w:num w:numId="1049">
    <w:abstractNumId w:val="7"/>
  </w:num>
  <w:num w:numId="1050">
    <w:abstractNumId w:val="7"/>
  </w:num>
  <w:num w:numId="1051">
    <w:abstractNumId w:val="7"/>
  </w:num>
  <w:num w:numId="1052">
    <w:abstractNumId w:val="7"/>
  </w:num>
  <w:num w:numId="1053">
    <w:abstractNumId w:val="7"/>
  </w:num>
  <w:num w:numId="1054">
    <w:abstractNumId w:val="7"/>
  </w:num>
  <w:num w:numId="1055">
    <w:abstractNumId w:val="7"/>
  </w:num>
  <w:num w:numId="1056">
    <w:abstractNumId w:val="7"/>
  </w:num>
  <w:num w:numId="1057">
    <w:abstractNumId w:val="7"/>
  </w:num>
  <w:num w:numId="1058">
    <w:abstractNumId w:val="7"/>
  </w:num>
  <w:num w:numId="1059">
    <w:abstractNumId w:val="7"/>
  </w:num>
  <w:num w:numId="1060">
    <w:abstractNumId w:val="7"/>
  </w:num>
  <w:num w:numId="1061">
    <w:abstractNumId w:val="7"/>
  </w:num>
  <w:num w:numId="1062">
    <w:abstractNumId w:val="7"/>
  </w:num>
  <w:num w:numId="1063">
    <w:abstractNumId w:val="7"/>
  </w:num>
  <w:num w:numId="1064">
    <w:abstractNumId w:val="7"/>
  </w:num>
  <w:num w:numId="1065">
    <w:abstractNumId w:val="7"/>
  </w:num>
  <w:num w:numId="1066">
    <w:abstractNumId w:val="7"/>
  </w:num>
  <w:num w:numId="1067">
    <w:abstractNumId w:val="7"/>
  </w:num>
  <w:num w:numId="1068">
    <w:abstractNumId w:val="7"/>
  </w:num>
  <w:num w:numId="1069">
    <w:abstractNumId w:val="7"/>
  </w:num>
  <w:num w:numId="1070">
    <w:abstractNumId w:val="7"/>
  </w:num>
  <w:num w:numId="1071">
    <w:abstractNumId w:val="7"/>
  </w:num>
  <w:num w:numId="1072">
    <w:abstractNumId w:val="7"/>
  </w:num>
  <w:num w:numId="1073">
    <w:abstractNumId w:val="7"/>
  </w:num>
  <w:num w:numId="1074">
    <w:abstractNumId w:val="7"/>
  </w:num>
  <w:num w:numId="1075">
    <w:abstractNumId w:val="7"/>
  </w:num>
  <w:num w:numId="1076">
    <w:abstractNumId w:val="7"/>
  </w:num>
  <w:num w:numId="1077">
    <w:abstractNumId w:val="7"/>
  </w:num>
  <w:num w:numId="1078">
    <w:abstractNumId w:val="7"/>
  </w:num>
  <w:num w:numId="1079">
    <w:abstractNumId w:val="7"/>
  </w:num>
  <w:num w:numId="1080">
    <w:abstractNumId w:val="7"/>
  </w:num>
  <w:num w:numId="1081">
    <w:abstractNumId w:val="7"/>
  </w:num>
  <w:num w:numId="1082">
    <w:abstractNumId w:val="7"/>
  </w:num>
  <w:num w:numId="1083">
    <w:abstractNumId w:val="7"/>
  </w:num>
  <w:num w:numId="1084">
    <w:abstractNumId w:val="7"/>
  </w:num>
  <w:num w:numId="1085">
    <w:abstractNumId w:val="7"/>
  </w:num>
  <w:num w:numId="1086">
    <w:abstractNumId w:val="7"/>
  </w:num>
  <w:num w:numId="1087">
    <w:abstractNumId w:val="7"/>
  </w:num>
  <w:num w:numId="1088">
    <w:abstractNumId w:val="7"/>
  </w:num>
  <w:num w:numId="1089">
    <w:abstractNumId w:val="7"/>
  </w:num>
  <w:num w:numId="1090">
    <w:abstractNumId w:val="7"/>
  </w:num>
  <w:num w:numId="1091">
    <w:abstractNumId w:val="7"/>
  </w:num>
  <w:num w:numId="1092">
    <w:abstractNumId w:val="7"/>
  </w:num>
  <w:num w:numId="1093">
    <w:abstractNumId w:val="7"/>
  </w:num>
  <w:num w:numId="1094">
    <w:abstractNumId w:val="7"/>
  </w:num>
  <w:num w:numId="1095">
    <w:abstractNumId w:val="7"/>
  </w:num>
  <w:num w:numId="1096">
    <w:abstractNumId w:val="7"/>
  </w:num>
  <w:num w:numId="1097">
    <w:abstractNumId w:val="7"/>
  </w:num>
  <w:num w:numId="1098">
    <w:abstractNumId w:val="7"/>
  </w:num>
  <w:num w:numId="1099">
    <w:abstractNumId w:val="7"/>
  </w:num>
  <w:num w:numId="1100">
    <w:abstractNumId w:val="7"/>
  </w:num>
  <w:num w:numId="1101">
    <w:abstractNumId w:val="7"/>
  </w:num>
  <w:num w:numId="1102">
    <w:abstractNumId w:val="7"/>
  </w:num>
  <w:num w:numId="1103">
    <w:abstractNumId w:val="7"/>
  </w:num>
  <w:num w:numId="1104">
    <w:abstractNumId w:val="7"/>
  </w:num>
  <w:num w:numId="1105">
    <w:abstractNumId w:val="7"/>
  </w:num>
  <w:num w:numId="1106">
    <w:abstractNumId w:val="7"/>
  </w:num>
  <w:num w:numId="1107">
    <w:abstractNumId w:val="7"/>
  </w:num>
  <w:num w:numId="1108">
    <w:abstractNumId w:val="7"/>
  </w:num>
  <w:num w:numId="1109">
    <w:abstractNumId w:val="7"/>
  </w:num>
  <w:num w:numId="1110">
    <w:abstractNumId w:val="7"/>
  </w:num>
  <w:num w:numId="1111">
    <w:abstractNumId w:val="7"/>
  </w:num>
  <w:num w:numId="1112">
    <w:abstractNumId w:val="7"/>
  </w:num>
  <w:num w:numId="1113">
    <w:abstractNumId w:val="7"/>
  </w:num>
  <w:num w:numId="1114">
    <w:abstractNumId w:val="7"/>
  </w:num>
  <w:num w:numId="1115">
    <w:abstractNumId w:val="7"/>
  </w:num>
  <w:num w:numId="1116">
    <w:abstractNumId w:val="7"/>
  </w:num>
  <w:num w:numId="1117">
    <w:abstractNumId w:val="7"/>
  </w:num>
  <w:num w:numId="1118">
    <w:abstractNumId w:val="7"/>
  </w:num>
  <w:num w:numId="1119">
    <w:abstractNumId w:val="7"/>
  </w:num>
  <w:num w:numId="1120">
    <w:abstractNumId w:val="7"/>
  </w:num>
  <w:num w:numId="1121">
    <w:abstractNumId w:val="7"/>
  </w:num>
  <w:num w:numId="1122">
    <w:abstractNumId w:val="7"/>
  </w:num>
  <w:num w:numId="1123">
    <w:abstractNumId w:val="7"/>
  </w:num>
  <w:num w:numId="1124">
    <w:abstractNumId w:val="7"/>
  </w:num>
  <w:num w:numId="1125">
    <w:abstractNumId w:val="7"/>
  </w:num>
  <w:num w:numId="1126">
    <w:abstractNumId w:val="7"/>
  </w:num>
  <w:num w:numId="1127">
    <w:abstractNumId w:val="7"/>
  </w:num>
  <w:num w:numId="1128">
    <w:abstractNumId w:val="7"/>
  </w:num>
  <w:num w:numId="1129">
    <w:abstractNumId w:val="7"/>
  </w:num>
  <w:num w:numId="1130">
    <w:abstractNumId w:val="7"/>
  </w:num>
  <w:num w:numId="1131">
    <w:abstractNumId w:val="7"/>
  </w:num>
  <w:num w:numId="1132">
    <w:abstractNumId w:val="7"/>
  </w:num>
  <w:num w:numId="1133">
    <w:abstractNumId w:val="7"/>
  </w:num>
  <w:num w:numId="1134">
    <w:abstractNumId w:val="7"/>
  </w:num>
  <w:num w:numId="1135">
    <w:abstractNumId w:val="7"/>
  </w:num>
  <w:num w:numId="1136">
    <w:abstractNumId w:val="7"/>
  </w:num>
  <w:num w:numId="1137">
    <w:abstractNumId w:val="7"/>
  </w:num>
  <w:num w:numId="1138">
    <w:abstractNumId w:val="7"/>
  </w:num>
  <w:num w:numId="1139">
    <w:abstractNumId w:val="7"/>
  </w:num>
  <w:num w:numId="1140">
    <w:abstractNumId w:val="7"/>
  </w:num>
  <w:num w:numId="1141">
    <w:abstractNumId w:val="7"/>
  </w:num>
  <w:num w:numId="1142">
    <w:abstractNumId w:val="7"/>
  </w:num>
  <w:num w:numId="1143">
    <w:abstractNumId w:val="7"/>
  </w:num>
  <w:num w:numId="1144">
    <w:abstractNumId w:val="7"/>
  </w:num>
  <w:num w:numId="1145">
    <w:abstractNumId w:val="7"/>
  </w:num>
  <w:num w:numId="1146">
    <w:abstractNumId w:val="7"/>
  </w:num>
  <w:num w:numId="1147">
    <w:abstractNumId w:val="7"/>
  </w:num>
  <w:num w:numId="1148">
    <w:abstractNumId w:val="7"/>
  </w:num>
  <w:num w:numId="1149">
    <w:abstractNumId w:val="7"/>
  </w:num>
  <w:num w:numId="1150">
    <w:abstractNumId w:val="7"/>
  </w:num>
  <w:num w:numId="1151">
    <w:abstractNumId w:val="7"/>
  </w:num>
  <w:num w:numId="1152">
    <w:abstractNumId w:val="7"/>
  </w:num>
  <w:num w:numId="1153">
    <w:abstractNumId w:val="7"/>
  </w:num>
  <w:num w:numId="1154">
    <w:abstractNumId w:val="7"/>
  </w:num>
  <w:num w:numId="1155">
    <w:abstractNumId w:val="7"/>
  </w:num>
  <w:num w:numId="1156">
    <w:abstractNumId w:val="7"/>
  </w:num>
  <w:num w:numId="1157">
    <w:abstractNumId w:val="7"/>
  </w:num>
  <w:num w:numId="1158">
    <w:abstractNumId w:val="7"/>
  </w:num>
  <w:num w:numId="1159">
    <w:abstractNumId w:val="7"/>
  </w:num>
  <w:num w:numId="1160">
    <w:abstractNumId w:val="7"/>
  </w:num>
  <w:num w:numId="1161">
    <w:abstractNumId w:val="7"/>
  </w:num>
  <w:num w:numId="1162">
    <w:abstractNumId w:val="7"/>
  </w:num>
  <w:num w:numId="1163">
    <w:abstractNumId w:val="7"/>
  </w:num>
  <w:num w:numId="1164">
    <w:abstractNumId w:val="7"/>
  </w:num>
  <w:num w:numId="1165">
    <w:abstractNumId w:val="7"/>
  </w:num>
  <w:num w:numId="1166">
    <w:abstractNumId w:val="7"/>
  </w:num>
  <w:num w:numId="1167">
    <w:abstractNumId w:val="7"/>
  </w:num>
  <w:num w:numId="1168">
    <w:abstractNumId w:val="7"/>
  </w:num>
  <w:num w:numId="1169">
    <w:abstractNumId w:val="7"/>
  </w:num>
  <w:num w:numId="1170">
    <w:abstractNumId w:val="7"/>
  </w:num>
  <w:num w:numId="1171">
    <w:abstractNumId w:val="7"/>
  </w:num>
  <w:num w:numId="1172">
    <w:abstractNumId w:val="7"/>
  </w:num>
  <w:num w:numId="1173">
    <w:abstractNumId w:val="7"/>
  </w:num>
  <w:num w:numId="1174">
    <w:abstractNumId w:val="7"/>
  </w:num>
  <w:num w:numId="1175">
    <w:abstractNumId w:val="7"/>
  </w:num>
  <w:num w:numId="1176">
    <w:abstractNumId w:val="7"/>
  </w:num>
  <w:num w:numId="1177">
    <w:abstractNumId w:val="7"/>
  </w:num>
  <w:num w:numId="1178">
    <w:abstractNumId w:val="7"/>
  </w:num>
  <w:num w:numId="1179">
    <w:abstractNumId w:val="7"/>
  </w:num>
  <w:num w:numId="1180">
    <w:abstractNumId w:val="7"/>
  </w:num>
  <w:num w:numId="1181">
    <w:abstractNumId w:val="7"/>
  </w:num>
  <w:num w:numId="1182">
    <w:abstractNumId w:val="7"/>
  </w:num>
  <w:num w:numId="1183">
    <w:abstractNumId w:val="7"/>
  </w:num>
  <w:num w:numId="1184">
    <w:abstractNumId w:val="7"/>
  </w:num>
  <w:num w:numId="1185">
    <w:abstractNumId w:val="7"/>
  </w:num>
  <w:num w:numId="1186">
    <w:abstractNumId w:val="7"/>
  </w:num>
  <w:num w:numId="1187">
    <w:abstractNumId w:val="7"/>
  </w:num>
  <w:num w:numId="1188">
    <w:abstractNumId w:val="7"/>
  </w:num>
  <w:num w:numId="1189">
    <w:abstractNumId w:val="7"/>
  </w:num>
  <w:num w:numId="1190">
    <w:abstractNumId w:val="7"/>
  </w:num>
  <w:num w:numId="1191">
    <w:abstractNumId w:val="7"/>
  </w:num>
  <w:num w:numId="1192">
    <w:abstractNumId w:val="7"/>
  </w:num>
  <w:num w:numId="1193">
    <w:abstractNumId w:val="7"/>
  </w:num>
  <w:num w:numId="1194">
    <w:abstractNumId w:val="7"/>
  </w:num>
  <w:num w:numId="1195">
    <w:abstractNumId w:val="7"/>
  </w:num>
  <w:num w:numId="1196">
    <w:abstractNumId w:val="7"/>
  </w:num>
  <w:num w:numId="1197">
    <w:abstractNumId w:val="7"/>
  </w:num>
  <w:num w:numId="1198">
    <w:abstractNumId w:val="7"/>
  </w:num>
  <w:num w:numId="1199">
    <w:abstractNumId w:val="7"/>
  </w:num>
  <w:num w:numId="1200">
    <w:abstractNumId w:val="7"/>
  </w:num>
  <w:num w:numId="1201">
    <w:abstractNumId w:val="7"/>
  </w:num>
  <w:num w:numId="1202">
    <w:abstractNumId w:val="7"/>
  </w:num>
  <w:num w:numId="1203">
    <w:abstractNumId w:val="7"/>
  </w:num>
  <w:num w:numId="1204">
    <w:abstractNumId w:val="7"/>
  </w:num>
  <w:num w:numId="1205">
    <w:abstractNumId w:val="7"/>
  </w:num>
  <w:num w:numId="1206">
    <w:abstractNumId w:val="7"/>
  </w:num>
  <w:num w:numId="1207">
    <w:abstractNumId w:val="7"/>
  </w:num>
  <w:num w:numId="1208">
    <w:abstractNumId w:val="7"/>
  </w:num>
  <w:num w:numId="1209">
    <w:abstractNumId w:val="7"/>
  </w:num>
  <w:num w:numId="1210">
    <w:abstractNumId w:val="7"/>
  </w:num>
  <w:num w:numId="1211">
    <w:abstractNumId w:val="7"/>
  </w:num>
  <w:num w:numId="1212">
    <w:abstractNumId w:val="7"/>
  </w:num>
  <w:num w:numId="1213">
    <w:abstractNumId w:val="7"/>
  </w:num>
  <w:num w:numId="1214">
    <w:abstractNumId w:val="7"/>
  </w:num>
  <w:num w:numId="1215">
    <w:abstractNumId w:val="7"/>
  </w:num>
  <w:num w:numId="1216">
    <w:abstractNumId w:val="7"/>
  </w:num>
  <w:num w:numId="1217">
    <w:abstractNumId w:val="7"/>
  </w:num>
  <w:num w:numId="1218">
    <w:abstractNumId w:val="7"/>
  </w:num>
  <w:num w:numId="1219">
    <w:abstractNumId w:val="7"/>
  </w:num>
  <w:num w:numId="1220">
    <w:abstractNumId w:val="35"/>
    <w:lvlOverride w:ilvl="0">
      <w:startOverride w:val="1"/>
    </w:lvlOverride>
  </w:num>
  <w:num w:numId="1221">
    <w:abstractNumId w:val="35"/>
  </w:num>
  <w:num w:numId="1222">
    <w:abstractNumId w:val="35"/>
  </w:num>
  <w:num w:numId="1223">
    <w:abstractNumId w:val="35"/>
  </w:num>
  <w:num w:numId="1224">
    <w:abstractNumId w:val="35"/>
  </w:num>
  <w:num w:numId="1225">
    <w:abstractNumId w:val="35"/>
  </w:num>
  <w:num w:numId="1226">
    <w:abstractNumId w:val="7"/>
  </w:num>
  <w:num w:numId="1227">
    <w:abstractNumId w:val="7"/>
  </w:num>
  <w:num w:numId="1228">
    <w:abstractNumId w:val="7"/>
  </w:num>
  <w:num w:numId="1229">
    <w:abstractNumId w:val="7"/>
  </w:num>
  <w:num w:numId="1230">
    <w:abstractNumId w:val="7"/>
  </w:num>
  <w:num w:numId="1231">
    <w:abstractNumId w:val="7"/>
  </w:num>
  <w:num w:numId="1232">
    <w:abstractNumId w:val="7"/>
  </w:num>
  <w:num w:numId="1233">
    <w:abstractNumId w:val="7"/>
  </w:num>
  <w:num w:numId="1234">
    <w:abstractNumId w:val="7"/>
  </w:num>
  <w:num w:numId="1235">
    <w:abstractNumId w:val="7"/>
  </w:num>
  <w:num w:numId="1236">
    <w:abstractNumId w:val="35"/>
    <w:lvlOverride w:ilvl="0">
      <w:startOverride w:val="1"/>
    </w:lvlOverride>
  </w:num>
  <w:num w:numId="1237">
    <w:abstractNumId w:val="35"/>
  </w:num>
  <w:num w:numId="1238">
    <w:abstractNumId w:val="35"/>
  </w:num>
  <w:num w:numId="1239">
    <w:abstractNumId w:val="35"/>
  </w:num>
  <w:num w:numId="1240">
    <w:abstractNumId w:val="35"/>
  </w:num>
  <w:num w:numId="1241">
    <w:abstractNumId w:val="35"/>
  </w:num>
  <w:num w:numId="1242">
    <w:abstractNumId w:val="35"/>
  </w:num>
  <w:num w:numId="1243">
    <w:abstractNumId w:val="35"/>
  </w:num>
  <w:num w:numId="1244">
    <w:abstractNumId w:val="7"/>
  </w:num>
  <w:num w:numId="1245">
    <w:abstractNumId w:val="7"/>
  </w:num>
  <w:num w:numId="1246">
    <w:abstractNumId w:val="7"/>
  </w:num>
  <w:num w:numId="1247">
    <w:abstractNumId w:val="7"/>
  </w:num>
  <w:num w:numId="1248">
    <w:abstractNumId w:val="7"/>
  </w:num>
  <w:num w:numId="1249">
    <w:abstractNumId w:val="7"/>
  </w:num>
  <w:num w:numId="1250">
    <w:abstractNumId w:val="7"/>
  </w:num>
  <w:num w:numId="1251">
    <w:abstractNumId w:val="7"/>
  </w:num>
  <w:num w:numId="1252">
    <w:abstractNumId w:val="7"/>
  </w:num>
  <w:num w:numId="1253">
    <w:abstractNumId w:val="7"/>
  </w:num>
  <w:num w:numId="1254">
    <w:abstractNumId w:val="7"/>
  </w:num>
  <w:num w:numId="1255">
    <w:abstractNumId w:val="7"/>
  </w:num>
  <w:num w:numId="1256">
    <w:abstractNumId w:val="7"/>
  </w:num>
  <w:num w:numId="1257">
    <w:abstractNumId w:val="7"/>
  </w:num>
  <w:num w:numId="1258">
    <w:abstractNumId w:val="7"/>
  </w:num>
  <w:num w:numId="1259">
    <w:abstractNumId w:val="7"/>
  </w:num>
  <w:num w:numId="1260">
    <w:abstractNumId w:val="7"/>
  </w:num>
  <w:num w:numId="1261">
    <w:abstractNumId w:val="7"/>
  </w:num>
  <w:num w:numId="1262">
    <w:abstractNumId w:val="35"/>
    <w:lvlOverride w:ilvl="0">
      <w:startOverride w:val="1"/>
    </w:lvlOverride>
  </w:num>
  <w:num w:numId="1263">
    <w:abstractNumId w:val="35"/>
  </w:num>
  <w:num w:numId="1264">
    <w:abstractNumId w:val="35"/>
  </w:num>
  <w:num w:numId="1265">
    <w:abstractNumId w:val="35"/>
  </w:num>
  <w:num w:numId="1266">
    <w:abstractNumId w:val="35"/>
  </w:num>
  <w:num w:numId="1267">
    <w:abstractNumId w:val="35"/>
  </w:num>
  <w:num w:numId="1268">
    <w:abstractNumId w:val="35"/>
  </w:num>
  <w:num w:numId="1269">
    <w:abstractNumId w:val="35"/>
  </w:num>
  <w:num w:numId="1270">
    <w:abstractNumId w:val="7"/>
  </w:num>
  <w:num w:numId="1271">
    <w:abstractNumId w:val="7"/>
  </w:num>
  <w:num w:numId="1272">
    <w:abstractNumId w:val="7"/>
  </w:num>
  <w:num w:numId="1273">
    <w:abstractNumId w:val="7"/>
  </w:num>
  <w:num w:numId="1274">
    <w:abstractNumId w:val="7"/>
  </w:num>
  <w:num w:numId="1275">
    <w:abstractNumId w:val="7"/>
  </w:num>
  <w:num w:numId="1276">
    <w:abstractNumId w:val="7"/>
  </w:num>
  <w:num w:numId="1277">
    <w:abstractNumId w:val="7"/>
  </w:num>
  <w:num w:numId="1278">
    <w:abstractNumId w:val="7"/>
  </w:num>
  <w:num w:numId="1279">
    <w:abstractNumId w:val="7"/>
  </w:num>
  <w:num w:numId="1280">
    <w:abstractNumId w:val="7"/>
  </w:num>
  <w:num w:numId="1281">
    <w:abstractNumId w:val="7"/>
  </w:num>
  <w:num w:numId="1282">
    <w:abstractNumId w:val="7"/>
  </w:num>
  <w:num w:numId="1283">
    <w:abstractNumId w:val="7"/>
  </w:num>
  <w:num w:numId="1284">
    <w:abstractNumId w:val="7"/>
  </w:num>
  <w:num w:numId="1285">
    <w:abstractNumId w:val="7"/>
  </w:num>
  <w:num w:numId="1286">
    <w:abstractNumId w:val="7"/>
  </w:num>
  <w:num w:numId="1287">
    <w:abstractNumId w:val="7"/>
  </w:num>
  <w:num w:numId="1288">
    <w:abstractNumId w:val="7"/>
  </w:num>
  <w:num w:numId="1289">
    <w:abstractNumId w:val="7"/>
  </w:num>
  <w:num w:numId="1290">
    <w:abstractNumId w:val="7"/>
  </w:num>
  <w:num w:numId="1291">
    <w:abstractNumId w:val="7"/>
  </w:num>
  <w:num w:numId="1292">
    <w:abstractNumId w:val="7"/>
  </w:num>
  <w:num w:numId="1293">
    <w:abstractNumId w:val="7"/>
  </w:num>
  <w:num w:numId="1294">
    <w:abstractNumId w:val="7"/>
  </w:num>
  <w:num w:numId="1295">
    <w:abstractNumId w:val="7"/>
  </w:num>
  <w:num w:numId="1296">
    <w:abstractNumId w:val="7"/>
  </w:num>
  <w:num w:numId="1297">
    <w:abstractNumId w:val="7"/>
  </w:num>
  <w:num w:numId="1298">
    <w:abstractNumId w:val="7"/>
  </w:num>
  <w:num w:numId="1299">
    <w:abstractNumId w:val="7"/>
  </w:num>
  <w:num w:numId="1300">
    <w:abstractNumId w:val="7"/>
  </w:num>
  <w:num w:numId="1301">
    <w:abstractNumId w:val="35"/>
    <w:lvlOverride w:ilvl="0">
      <w:startOverride w:val="1"/>
    </w:lvlOverride>
  </w:num>
  <w:num w:numId="1302">
    <w:abstractNumId w:val="35"/>
  </w:num>
  <w:num w:numId="1303">
    <w:abstractNumId w:val="35"/>
  </w:num>
  <w:num w:numId="1304">
    <w:abstractNumId w:val="35"/>
  </w:num>
  <w:num w:numId="1305">
    <w:abstractNumId w:val="7"/>
  </w:num>
  <w:num w:numId="1306">
    <w:abstractNumId w:val="7"/>
  </w:num>
  <w:num w:numId="1307">
    <w:abstractNumId w:val="7"/>
  </w:num>
  <w:num w:numId="1308">
    <w:abstractNumId w:val="7"/>
  </w:num>
  <w:num w:numId="1309">
    <w:abstractNumId w:val="7"/>
  </w:num>
  <w:num w:numId="1310">
    <w:abstractNumId w:val="7"/>
  </w:num>
  <w:num w:numId="1311">
    <w:abstractNumId w:val="7"/>
  </w:num>
  <w:num w:numId="1312">
    <w:abstractNumId w:val="7"/>
  </w:num>
  <w:num w:numId="1313">
    <w:abstractNumId w:val="7"/>
  </w:num>
  <w:num w:numId="1314">
    <w:abstractNumId w:val="7"/>
  </w:num>
  <w:num w:numId="1315">
    <w:abstractNumId w:val="7"/>
  </w:num>
  <w:num w:numId="1316">
    <w:abstractNumId w:val="7"/>
  </w:num>
  <w:num w:numId="1317">
    <w:abstractNumId w:val="7"/>
  </w:num>
  <w:num w:numId="1318">
    <w:abstractNumId w:val="7"/>
  </w:num>
  <w:num w:numId="1319">
    <w:abstractNumId w:val="7"/>
  </w:num>
  <w:num w:numId="1320">
    <w:abstractNumId w:val="7"/>
  </w:num>
  <w:num w:numId="1321">
    <w:abstractNumId w:val="7"/>
  </w:num>
  <w:num w:numId="1322">
    <w:abstractNumId w:val="7"/>
  </w:num>
  <w:num w:numId="1323">
    <w:abstractNumId w:val="7"/>
  </w:num>
  <w:num w:numId="1324">
    <w:abstractNumId w:val="7"/>
  </w:num>
  <w:num w:numId="1325">
    <w:abstractNumId w:val="7"/>
  </w:num>
  <w:num w:numId="1326">
    <w:abstractNumId w:val="7"/>
  </w:num>
  <w:num w:numId="1327">
    <w:abstractNumId w:val="7"/>
  </w:num>
  <w:num w:numId="1328">
    <w:abstractNumId w:val="7"/>
  </w:num>
  <w:num w:numId="1329">
    <w:abstractNumId w:val="7"/>
  </w:num>
  <w:num w:numId="1330">
    <w:abstractNumId w:val="7"/>
  </w:num>
  <w:num w:numId="1331">
    <w:abstractNumId w:val="7"/>
  </w:num>
  <w:num w:numId="1332">
    <w:abstractNumId w:val="35"/>
    <w:lvlOverride w:ilvl="0">
      <w:startOverride w:val="1"/>
    </w:lvlOverride>
  </w:num>
  <w:num w:numId="1333">
    <w:abstractNumId w:val="35"/>
  </w:num>
  <w:num w:numId="1334">
    <w:abstractNumId w:val="35"/>
  </w:num>
  <w:num w:numId="1335">
    <w:abstractNumId w:val="35"/>
  </w:num>
  <w:num w:numId="1336">
    <w:abstractNumId w:val="35"/>
  </w:num>
  <w:num w:numId="1337">
    <w:abstractNumId w:val="35"/>
  </w:num>
  <w:num w:numId="1338">
    <w:abstractNumId w:val="35"/>
  </w:num>
  <w:num w:numId="1339">
    <w:abstractNumId w:val="35"/>
  </w:num>
  <w:num w:numId="1340">
    <w:abstractNumId w:val="35"/>
  </w:num>
  <w:num w:numId="1341">
    <w:abstractNumId w:val="35"/>
  </w:num>
  <w:num w:numId="1342">
    <w:abstractNumId w:val="7"/>
  </w:num>
  <w:num w:numId="1343">
    <w:abstractNumId w:val="7"/>
  </w:num>
  <w:num w:numId="1344">
    <w:abstractNumId w:val="7"/>
  </w:num>
  <w:num w:numId="1345">
    <w:abstractNumId w:val="7"/>
  </w:num>
  <w:num w:numId="1346">
    <w:abstractNumId w:val="7"/>
  </w:num>
  <w:num w:numId="1347">
    <w:abstractNumId w:val="7"/>
  </w:num>
  <w:num w:numId="1348">
    <w:abstractNumId w:val="7"/>
  </w:num>
  <w:num w:numId="1349">
    <w:abstractNumId w:val="7"/>
  </w:num>
  <w:num w:numId="1350">
    <w:abstractNumId w:val="7"/>
  </w:num>
  <w:num w:numId="1351">
    <w:abstractNumId w:val="7"/>
  </w:num>
  <w:num w:numId="1352">
    <w:abstractNumId w:val="7"/>
  </w:num>
  <w:num w:numId="1353">
    <w:abstractNumId w:val="7"/>
  </w:num>
  <w:num w:numId="1354">
    <w:abstractNumId w:val="7"/>
  </w:num>
  <w:num w:numId="1355">
    <w:abstractNumId w:val="7"/>
  </w:num>
  <w:num w:numId="1356">
    <w:abstractNumId w:val="7"/>
  </w:num>
  <w:num w:numId="1357">
    <w:abstractNumId w:val="7"/>
  </w:num>
  <w:num w:numId="1358">
    <w:abstractNumId w:val="7"/>
  </w:num>
  <w:num w:numId="1359">
    <w:abstractNumId w:val="7"/>
  </w:num>
  <w:num w:numId="1360">
    <w:abstractNumId w:val="7"/>
  </w:num>
  <w:num w:numId="1361">
    <w:abstractNumId w:val="7"/>
  </w:num>
  <w:num w:numId="1362">
    <w:abstractNumId w:val="7"/>
  </w:num>
  <w:num w:numId="1363">
    <w:abstractNumId w:val="7"/>
  </w:num>
  <w:num w:numId="1364">
    <w:abstractNumId w:val="7"/>
  </w:num>
  <w:num w:numId="1365">
    <w:abstractNumId w:val="7"/>
  </w:num>
  <w:num w:numId="1366">
    <w:abstractNumId w:val="7"/>
  </w:num>
  <w:num w:numId="1367">
    <w:abstractNumId w:val="7"/>
  </w:num>
  <w:num w:numId="1368">
    <w:abstractNumId w:val="7"/>
  </w:num>
  <w:num w:numId="1369">
    <w:abstractNumId w:val="7"/>
  </w:num>
  <w:num w:numId="1370">
    <w:abstractNumId w:val="7"/>
  </w:num>
  <w:num w:numId="1371">
    <w:abstractNumId w:val="7"/>
  </w:num>
  <w:num w:numId="1372">
    <w:abstractNumId w:val="7"/>
  </w:num>
  <w:num w:numId="1373">
    <w:abstractNumId w:val="7"/>
  </w:num>
  <w:num w:numId="1374">
    <w:abstractNumId w:val="7"/>
  </w:num>
  <w:num w:numId="1375">
    <w:abstractNumId w:val="7"/>
  </w:num>
  <w:num w:numId="1376">
    <w:abstractNumId w:val="7"/>
  </w:num>
  <w:num w:numId="1377">
    <w:abstractNumId w:val="7"/>
  </w:num>
  <w:num w:numId="1378">
    <w:abstractNumId w:val="7"/>
  </w:num>
  <w:num w:numId="1379">
    <w:abstractNumId w:val="7"/>
  </w:num>
  <w:num w:numId="1380">
    <w:abstractNumId w:val="7"/>
  </w:num>
  <w:num w:numId="1381">
    <w:abstractNumId w:val="7"/>
  </w:num>
  <w:num w:numId="1382">
    <w:abstractNumId w:val="7"/>
  </w:num>
  <w:num w:numId="1383">
    <w:abstractNumId w:val="7"/>
  </w:num>
  <w:num w:numId="1384">
    <w:abstractNumId w:val="7"/>
  </w:num>
  <w:num w:numId="1385">
    <w:abstractNumId w:val="7"/>
  </w:num>
  <w:num w:numId="1386">
    <w:abstractNumId w:val="7"/>
  </w:num>
  <w:num w:numId="1387">
    <w:abstractNumId w:val="7"/>
  </w:num>
  <w:num w:numId="1388">
    <w:abstractNumId w:val="7"/>
  </w:num>
  <w:num w:numId="1389">
    <w:abstractNumId w:val="7"/>
  </w:num>
  <w:num w:numId="1390">
    <w:abstractNumId w:val="7"/>
  </w:num>
  <w:num w:numId="1391">
    <w:abstractNumId w:val="7"/>
  </w:num>
  <w:num w:numId="1392">
    <w:abstractNumId w:val="7"/>
  </w:num>
  <w:num w:numId="1393">
    <w:abstractNumId w:val="7"/>
  </w:num>
  <w:num w:numId="1394">
    <w:abstractNumId w:val="7"/>
  </w:num>
  <w:num w:numId="1395">
    <w:abstractNumId w:val="7"/>
  </w:num>
  <w:num w:numId="1396">
    <w:abstractNumId w:val="7"/>
  </w:num>
  <w:num w:numId="1397">
    <w:abstractNumId w:val="7"/>
  </w:num>
  <w:num w:numId="1398">
    <w:abstractNumId w:val="7"/>
  </w:num>
  <w:num w:numId="1399">
    <w:abstractNumId w:val="7"/>
  </w:num>
  <w:num w:numId="1400">
    <w:abstractNumId w:val="7"/>
  </w:num>
  <w:num w:numId="1401">
    <w:abstractNumId w:val="7"/>
  </w:num>
  <w:num w:numId="1402">
    <w:abstractNumId w:val="7"/>
  </w:num>
  <w:num w:numId="1403">
    <w:abstractNumId w:val="7"/>
  </w:num>
  <w:num w:numId="1404">
    <w:abstractNumId w:val="7"/>
  </w:num>
  <w:num w:numId="1405">
    <w:abstractNumId w:val="7"/>
  </w:num>
  <w:num w:numId="1406">
    <w:abstractNumId w:val="7"/>
  </w:num>
  <w:num w:numId="1407">
    <w:abstractNumId w:val="7"/>
  </w:num>
  <w:num w:numId="1408">
    <w:abstractNumId w:val="7"/>
  </w:num>
  <w:num w:numId="1409">
    <w:abstractNumId w:val="7"/>
  </w:num>
  <w:num w:numId="1410">
    <w:abstractNumId w:val="7"/>
  </w:num>
  <w:num w:numId="1411">
    <w:abstractNumId w:val="7"/>
  </w:num>
  <w:num w:numId="1412">
    <w:abstractNumId w:val="7"/>
  </w:num>
  <w:num w:numId="1413">
    <w:abstractNumId w:val="7"/>
  </w:num>
  <w:num w:numId="1414">
    <w:abstractNumId w:val="7"/>
  </w:num>
  <w:num w:numId="1415">
    <w:abstractNumId w:val="7"/>
  </w:num>
  <w:num w:numId="1416">
    <w:abstractNumId w:val="7"/>
  </w:num>
  <w:num w:numId="1417">
    <w:abstractNumId w:val="7"/>
  </w:num>
  <w:num w:numId="1418">
    <w:abstractNumId w:val="7"/>
  </w:num>
  <w:num w:numId="1419">
    <w:abstractNumId w:val="7"/>
  </w:num>
  <w:num w:numId="1420">
    <w:abstractNumId w:val="7"/>
  </w:num>
  <w:num w:numId="1421">
    <w:abstractNumId w:val="7"/>
  </w:num>
  <w:num w:numId="1422">
    <w:abstractNumId w:val="7"/>
  </w:num>
  <w:num w:numId="1423">
    <w:abstractNumId w:val="7"/>
  </w:num>
  <w:num w:numId="1424">
    <w:abstractNumId w:val="7"/>
  </w:num>
  <w:num w:numId="1425">
    <w:abstractNumId w:val="7"/>
  </w:num>
  <w:num w:numId="1426">
    <w:abstractNumId w:val="7"/>
  </w:num>
  <w:num w:numId="1427">
    <w:abstractNumId w:val="7"/>
  </w:num>
  <w:num w:numId="1428">
    <w:abstractNumId w:val="7"/>
  </w:num>
  <w:num w:numId="1429">
    <w:abstractNumId w:val="7"/>
  </w:num>
  <w:num w:numId="1430">
    <w:abstractNumId w:val="7"/>
  </w:num>
  <w:num w:numId="1431">
    <w:abstractNumId w:val="7"/>
  </w:num>
  <w:num w:numId="1432">
    <w:abstractNumId w:val="7"/>
  </w:num>
  <w:num w:numId="1433">
    <w:abstractNumId w:val="7"/>
  </w:num>
  <w:num w:numId="1434">
    <w:abstractNumId w:val="7"/>
  </w:num>
  <w:num w:numId="1435">
    <w:abstractNumId w:val="7"/>
  </w:num>
  <w:num w:numId="1436">
    <w:abstractNumId w:val="7"/>
  </w:num>
  <w:num w:numId="1437">
    <w:abstractNumId w:val="7"/>
  </w:num>
  <w:num w:numId="1438">
    <w:abstractNumId w:val="7"/>
  </w:num>
  <w:num w:numId="1439">
    <w:abstractNumId w:val="7"/>
  </w:num>
  <w:num w:numId="1440">
    <w:abstractNumId w:val="7"/>
  </w:num>
  <w:num w:numId="1441">
    <w:abstractNumId w:val="7"/>
  </w:num>
  <w:num w:numId="1442">
    <w:abstractNumId w:val="7"/>
  </w:num>
  <w:num w:numId="1443">
    <w:abstractNumId w:val="7"/>
  </w:num>
  <w:num w:numId="1444">
    <w:abstractNumId w:val="7"/>
  </w:num>
  <w:num w:numId="1445">
    <w:abstractNumId w:val="7"/>
  </w:num>
  <w:num w:numId="1446">
    <w:abstractNumId w:val="7"/>
  </w:num>
  <w:num w:numId="1447">
    <w:abstractNumId w:val="7"/>
  </w:num>
  <w:num w:numId="1448">
    <w:abstractNumId w:val="7"/>
  </w:num>
  <w:num w:numId="1449">
    <w:abstractNumId w:val="7"/>
  </w:num>
  <w:num w:numId="1450">
    <w:abstractNumId w:val="7"/>
  </w:num>
  <w:num w:numId="1451">
    <w:abstractNumId w:val="7"/>
  </w:num>
  <w:num w:numId="1452">
    <w:abstractNumId w:val="7"/>
  </w:num>
  <w:num w:numId="1453">
    <w:abstractNumId w:val="7"/>
  </w:num>
  <w:num w:numId="1454">
    <w:abstractNumId w:val="7"/>
  </w:num>
  <w:num w:numId="1455">
    <w:abstractNumId w:val="7"/>
  </w:num>
  <w:num w:numId="1456">
    <w:abstractNumId w:val="7"/>
  </w:num>
  <w:num w:numId="1457">
    <w:abstractNumId w:val="7"/>
  </w:num>
  <w:num w:numId="1458">
    <w:abstractNumId w:val="7"/>
  </w:num>
  <w:num w:numId="1459">
    <w:abstractNumId w:val="7"/>
  </w:num>
  <w:num w:numId="1460">
    <w:abstractNumId w:val="7"/>
  </w:num>
  <w:num w:numId="1461">
    <w:abstractNumId w:val="7"/>
  </w:num>
  <w:num w:numId="1462">
    <w:abstractNumId w:val="7"/>
  </w:num>
  <w:num w:numId="1463">
    <w:abstractNumId w:val="7"/>
  </w:num>
  <w:num w:numId="1464">
    <w:abstractNumId w:val="7"/>
  </w:num>
  <w:num w:numId="1465">
    <w:abstractNumId w:val="7"/>
  </w:num>
  <w:num w:numId="1466">
    <w:abstractNumId w:val="7"/>
  </w:num>
  <w:num w:numId="1467">
    <w:abstractNumId w:val="7"/>
  </w:num>
  <w:num w:numId="1468">
    <w:abstractNumId w:val="7"/>
  </w:num>
  <w:num w:numId="1469">
    <w:abstractNumId w:val="7"/>
  </w:num>
  <w:num w:numId="1470">
    <w:abstractNumId w:val="7"/>
  </w:num>
  <w:num w:numId="1471">
    <w:abstractNumId w:val="7"/>
  </w:num>
  <w:num w:numId="1472">
    <w:abstractNumId w:val="7"/>
  </w:num>
  <w:num w:numId="1473">
    <w:abstractNumId w:val="7"/>
  </w:num>
  <w:num w:numId="1474">
    <w:abstractNumId w:val="7"/>
  </w:num>
  <w:num w:numId="1475">
    <w:abstractNumId w:val="7"/>
  </w:num>
  <w:num w:numId="1476">
    <w:abstractNumId w:val="7"/>
  </w:num>
  <w:num w:numId="1477">
    <w:abstractNumId w:val="7"/>
  </w:num>
  <w:num w:numId="1478">
    <w:abstractNumId w:val="7"/>
  </w:num>
  <w:num w:numId="1479">
    <w:abstractNumId w:val="7"/>
  </w:num>
  <w:num w:numId="1480">
    <w:abstractNumId w:val="7"/>
  </w:num>
  <w:num w:numId="1481">
    <w:abstractNumId w:val="7"/>
  </w:num>
  <w:num w:numId="1482">
    <w:abstractNumId w:val="7"/>
  </w:num>
  <w:num w:numId="1483">
    <w:abstractNumId w:val="7"/>
  </w:num>
  <w:num w:numId="1484">
    <w:abstractNumId w:val="7"/>
  </w:num>
  <w:num w:numId="1485">
    <w:abstractNumId w:val="7"/>
  </w:num>
  <w:num w:numId="1486">
    <w:abstractNumId w:val="7"/>
  </w:num>
  <w:num w:numId="1487">
    <w:abstractNumId w:val="7"/>
  </w:num>
  <w:num w:numId="1488">
    <w:abstractNumId w:val="7"/>
  </w:num>
  <w:num w:numId="1489">
    <w:abstractNumId w:val="7"/>
  </w:num>
  <w:num w:numId="1490">
    <w:abstractNumId w:val="7"/>
  </w:num>
  <w:num w:numId="1491">
    <w:abstractNumId w:val="7"/>
  </w:num>
  <w:num w:numId="1492">
    <w:abstractNumId w:val="7"/>
  </w:num>
  <w:num w:numId="1493">
    <w:abstractNumId w:val="7"/>
  </w:num>
  <w:num w:numId="1494">
    <w:abstractNumId w:val="7"/>
  </w:num>
  <w:num w:numId="1495">
    <w:abstractNumId w:val="7"/>
  </w:num>
  <w:num w:numId="1496">
    <w:abstractNumId w:val="7"/>
  </w:num>
  <w:num w:numId="1497">
    <w:abstractNumId w:val="7"/>
  </w:num>
  <w:num w:numId="1498">
    <w:abstractNumId w:val="7"/>
  </w:num>
  <w:num w:numId="1499">
    <w:abstractNumId w:val="7"/>
  </w:num>
  <w:num w:numId="1500">
    <w:abstractNumId w:val="7"/>
  </w:num>
  <w:num w:numId="1501">
    <w:abstractNumId w:val="7"/>
  </w:num>
  <w:num w:numId="1502">
    <w:abstractNumId w:val="7"/>
  </w:num>
  <w:num w:numId="1503">
    <w:abstractNumId w:val="7"/>
  </w:num>
  <w:num w:numId="1504">
    <w:abstractNumId w:val="7"/>
  </w:num>
  <w:num w:numId="1505">
    <w:abstractNumId w:val="7"/>
  </w:num>
  <w:num w:numId="1506">
    <w:abstractNumId w:val="35"/>
    <w:lvlOverride w:ilvl="0">
      <w:startOverride w:val="1"/>
    </w:lvlOverride>
  </w:num>
  <w:num w:numId="1507">
    <w:abstractNumId w:val="35"/>
  </w:num>
  <w:num w:numId="1508">
    <w:abstractNumId w:val="35"/>
  </w:num>
  <w:num w:numId="1509">
    <w:abstractNumId w:val="35"/>
  </w:num>
  <w:num w:numId="1510">
    <w:abstractNumId w:val="35"/>
  </w:num>
  <w:num w:numId="1511">
    <w:abstractNumId w:val="35"/>
  </w:num>
  <w:num w:numId="1512">
    <w:abstractNumId w:val="35"/>
  </w:num>
  <w:num w:numId="1513">
    <w:abstractNumId w:val="35"/>
  </w:num>
  <w:num w:numId="1514">
    <w:abstractNumId w:val="35"/>
  </w:num>
  <w:num w:numId="1515">
    <w:abstractNumId w:val="35"/>
  </w:num>
  <w:num w:numId="1516">
    <w:abstractNumId w:val="7"/>
  </w:num>
  <w:num w:numId="1517">
    <w:abstractNumId w:val="7"/>
  </w:num>
  <w:num w:numId="1518">
    <w:abstractNumId w:val="7"/>
  </w:num>
  <w:num w:numId="1519">
    <w:abstractNumId w:val="7"/>
  </w:num>
  <w:num w:numId="1520">
    <w:abstractNumId w:val="7"/>
  </w:num>
  <w:num w:numId="1521">
    <w:abstractNumId w:val="7"/>
  </w:num>
  <w:num w:numId="1522">
    <w:abstractNumId w:val="7"/>
  </w:num>
  <w:num w:numId="1523">
    <w:abstractNumId w:val="7"/>
  </w:num>
  <w:num w:numId="1524">
    <w:abstractNumId w:val="7"/>
  </w:num>
  <w:num w:numId="1525">
    <w:abstractNumId w:val="35"/>
    <w:lvlOverride w:ilvl="0">
      <w:startOverride w:val="1"/>
    </w:lvlOverride>
  </w:num>
  <w:num w:numId="1526">
    <w:abstractNumId w:val="35"/>
  </w:num>
  <w:num w:numId="1527">
    <w:abstractNumId w:val="35"/>
  </w:num>
  <w:num w:numId="1528">
    <w:abstractNumId w:val="35"/>
  </w:num>
  <w:num w:numId="1529">
    <w:abstractNumId w:val="35"/>
  </w:num>
  <w:num w:numId="1530">
    <w:abstractNumId w:val="35"/>
  </w:num>
  <w:num w:numId="1531">
    <w:abstractNumId w:val="35"/>
  </w:num>
  <w:num w:numId="1532">
    <w:abstractNumId w:val="35"/>
  </w:num>
  <w:num w:numId="1533">
    <w:abstractNumId w:val="35"/>
  </w:num>
  <w:num w:numId="1534">
    <w:abstractNumId w:val="35"/>
  </w:num>
  <w:num w:numId="1535">
    <w:abstractNumId w:val="35"/>
  </w:num>
  <w:num w:numId="1536">
    <w:abstractNumId w:val="35"/>
  </w:num>
  <w:num w:numId="1537">
    <w:abstractNumId w:val="35"/>
  </w:num>
  <w:num w:numId="1538">
    <w:abstractNumId w:val="35"/>
  </w:num>
  <w:num w:numId="1539">
    <w:abstractNumId w:val="35"/>
  </w:num>
  <w:num w:numId="1540">
    <w:abstractNumId w:val="35"/>
    <w:lvlOverride w:ilvl="0">
      <w:startOverride w:val="1"/>
    </w:lvlOverride>
  </w:num>
  <w:num w:numId="1541">
    <w:abstractNumId w:val="35"/>
  </w:num>
  <w:num w:numId="1542">
    <w:abstractNumId w:val="35"/>
  </w:num>
  <w:num w:numId="1543">
    <w:abstractNumId w:val="35"/>
  </w:num>
  <w:num w:numId="1544">
    <w:abstractNumId w:val="35"/>
  </w:num>
  <w:num w:numId="1545">
    <w:abstractNumId w:val="35"/>
  </w:num>
  <w:num w:numId="1546">
    <w:abstractNumId w:val="35"/>
  </w:num>
  <w:num w:numId="1547">
    <w:abstractNumId w:val="35"/>
  </w:num>
  <w:num w:numId="1548">
    <w:abstractNumId w:val="35"/>
  </w:num>
  <w:num w:numId="1549">
    <w:abstractNumId w:val="35"/>
    <w:lvlOverride w:ilvl="0">
      <w:startOverride w:val="1"/>
    </w:lvlOverride>
  </w:num>
  <w:num w:numId="1550">
    <w:abstractNumId w:val="35"/>
  </w:num>
  <w:num w:numId="1551">
    <w:abstractNumId w:val="35"/>
  </w:num>
  <w:num w:numId="1552">
    <w:abstractNumId w:val="35"/>
  </w:num>
  <w:num w:numId="1553">
    <w:abstractNumId w:val="35"/>
  </w:num>
  <w:num w:numId="1554">
    <w:abstractNumId w:val="35"/>
  </w:num>
  <w:num w:numId="1555">
    <w:abstractNumId w:val="35"/>
  </w:num>
  <w:num w:numId="1556">
    <w:abstractNumId w:val="35"/>
  </w:num>
  <w:num w:numId="1557">
    <w:abstractNumId w:val="35"/>
  </w:num>
  <w:num w:numId="1558">
    <w:abstractNumId w:val="35"/>
  </w:num>
  <w:num w:numId="1559">
    <w:abstractNumId w:val="35"/>
  </w:num>
  <w:num w:numId="1560">
    <w:abstractNumId w:val="35"/>
  </w:num>
  <w:num w:numId="1561">
    <w:abstractNumId w:val="35"/>
  </w:num>
  <w:num w:numId="1562">
    <w:abstractNumId w:val="35"/>
  </w:num>
  <w:num w:numId="1563">
    <w:abstractNumId w:val="35"/>
  </w:num>
  <w:num w:numId="1564">
    <w:abstractNumId w:val="35"/>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left"/>
    </w:pPr>
    <w:rPr>
      <w:rFonts w:ascii="Noto Serif" w:hAnsi="Noto Serif" w:eastAsia="Noto Serif" w:cs=""/>
      <w:color w:val="232B31"/>
      <w:kern w:val="0"/>
      <w:sz w:val="21"/>
      <w:szCs w:val="22"/>
      <w:lang w:val="en-GB" w:eastAsia="en-US" w:bidi="ar-SA"/>
    </w:rPr>
  </w:style>
  <w:style w:type="paragraph" w:styleId="Heading1">
    <w:name w:val="heading 1"/>
    <w:basedOn w:val="Normal"/>
    <w:next w:val="Normal"/>
    <w:link w:val="Heading1Char"/>
    <w:uiPriority w:val="9"/>
    <w:qFormat/>
    <w:rsid w:val="00fc693f"/>
    <w:pPr>
      <w:keepNext w:val="true"/>
      <w:keepLines/>
      <w:pageBreakBefore/>
      <w:spacing w:before="360" w:after="200"/>
      <w:outlineLvl w:val="1"/>
    </w:pPr>
    <w:rPr>
      <w:rFonts w:ascii="Calibri" w:hAnsi="Calibri" w:eastAsia="" w:cs="" w:asciiTheme="majorHAnsi" w:cstheme="majorBidi" w:eastAsiaTheme="majorEastAsia" w:hAnsiTheme="majorHAnsi"/>
      <w:b/>
      <w:bCs/>
      <w:color w:val="173B57"/>
      <w:sz w:val="44"/>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2"/>
    </w:pPr>
    <w:rPr>
      <w:rFonts w:ascii="Calibri" w:hAnsi="Calibri" w:eastAsia="" w:cs="" w:asciiTheme="majorHAnsi" w:cstheme="majorBidi" w:eastAsiaTheme="majorEastAsia" w:hAnsiTheme="majorHAnsi"/>
      <w:b/>
      <w:bCs/>
      <w:color w:val="1D6174"/>
      <w:sz w:val="30"/>
      <w:szCs w:val="26"/>
    </w:rPr>
  </w:style>
  <w:style w:type="paragraph" w:styleId="Heading3">
    <w:name w:val="heading 3"/>
    <w:basedOn w:val="Normal"/>
    <w:next w:val="Normal"/>
    <w:link w:val="Heading3Char"/>
    <w:uiPriority w:val="9"/>
    <w:unhideWhenUsed/>
    <w:qFormat/>
    <w:rsid w:val="00fc693f"/>
    <w:pPr>
      <w:keepNext w:val="true"/>
      <w:keepLines/>
      <w:spacing w:before="200" w:after="80"/>
      <w:outlineLvl w:val="2"/>
    </w:pPr>
    <w:rPr>
      <w:rFonts w:ascii="Calibri" w:hAnsi="Calibri" w:eastAsia="" w:cs="" w:asciiTheme="majorHAnsi" w:cstheme="majorBidi" w:eastAsiaTheme="majorEastAsia" w:hAnsiTheme="majorHAnsi"/>
      <w:b/>
      <w:bCs/>
      <w:color w:val="173B57"/>
      <w:sz w:val="23"/>
    </w:rPr>
  </w:style>
  <w:style w:type="paragraph" w:styleId="Heading4">
    <w:name w:val="heading 4"/>
    <w:basedOn w:val="Normal"/>
    <w:next w:val="Normal"/>
    <w:link w:val="Heading4Char"/>
    <w:uiPriority w:val="9"/>
    <w:semiHidden/>
    <w:unhideWhenUsed/>
    <w:qFormat/>
    <w:rsid w:val="00fc693f"/>
    <w:pPr>
      <w:keepNext w:val="true"/>
      <w:keepLines/>
      <w:spacing w:before="160" w:after="60"/>
      <w:outlineLvl w:val="3"/>
    </w:pPr>
    <w:rPr>
      <w:rFonts w:ascii="Calibri" w:hAnsi="Calibri" w:eastAsia="" w:cs="" w:asciiTheme="majorHAnsi" w:cstheme="majorBidi" w:eastAsiaTheme="majorEastAsia" w:hAnsiTheme="majorHAnsi"/>
      <w:b/>
      <w:bCs/>
      <w:i/>
      <w:iCs/>
      <w:color w:val="46697F"/>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KeywordTok" w:customStyle="1">
    <w:name w:val="KeywordTok"/>
    <w:qFormat/>
    <w:rPr>
      <w:b/>
      <w:color w:val="007020"/>
    </w:rPr>
  </w:style>
  <w:style w:type="character" w:styleId="DataTypeTok" w:customStyle="1">
    <w:name w:val="DataTypeTok"/>
    <w:qFormat/>
    <w:rPr>
      <w:color w:val="902000"/>
    </w:rPr>
  </w:style>
  <w:style w:type="character" w:styleId="DecValTok" w:customStyle="1">
    <w:name w:val="DecValTok"/>
    <w:qFormat/>
    <w:rPr>
      <w:color w:val="40A070"/>
    </w:rPr>
  </w:style>
  <w:style w:type="character" w:styleId="BaseNTok" w:customStyle="1">
    <w:name w:val="BaseNTok"/>
    <w:qFormat/>
    <w:rPr>
      <w:color w:val="40A070"/>
    </w:rPr>
  </w:style>
  <w:style w:type="character" w:styleId="FloatTok" w:customStyle="1">
    <w:name w:val="FloatTok"/>
    <w:qFormat/>
    <w:rPr>
      <w:color w:val="40A070"/>
    </w:rPr>
  </w:style>
  <w:style w:type="character" w:styleId="ConstantTok" w:customStyle="1">
    <w:name w:val="ConstantTok"/>
    <w:qFormat/>
    <w:rPr>
      <w:color w:val="880000"/>
    </w:rPr>
  </w:style>
  <w:style w:type="character" w:styleId="CharTok" w:customStyle="1">
    <w:name w:val="CharTok"/>
    <w:qFormat/>
    <w:rPr>
      <w:color w:val="4070A0"/>
    </w:rPr>
  </w:style>
  <w:style w:type="character" w:styleId="SpecialCharTok" w:customStyle="1">
    <w:name w:val="SpecialCharTok"/>
    <w:qFormat/>
    <w:rPr>
      <w:color w:val="4070A0"/>
    </w:rPr>
  </w:style>
  <w:style w:type="character" w:styleId="StringTok" w:customStyle="1">
    <w:name w:val="StringTok"/>
    <w:qFormat/>
    <w:rPr>
      <w:color w:val="4070A0"/>
    </w:rPr>
  </w:style>
  <w:style w:type="character" w:styleId="VerbatimStringTok" w:customStyle="1">
    <w:name w:val="VerbatimStringTok"/>
    <w:qFormat/>
    <w:rPr>
      <w:color w:val="4070A0"/>
    </w:rPr>
  </w:style>
  <w:style w:type="character" w:styleId="SpecialStringTok" w:customStyle="1">
    <w:name w:val="SpecialStringTok"/>
    <w:qFormat/>
    <w:rPr>
      <w:color w:val="BB6688"/>
    </w:rPr>
  </w:style>
  <w:style w:type="character" w:styleId="ImportTok" w:customStyle="1">
    <w:name w:val="ImportTok"/>
    <w:qFormat/>
    <w:rPr>
      <w:b/>
      <w:color w:val="008000"/>
    </w:rPr>
  </w:style>
  <w:style w:type="character" w:styleId="CommentTok" w:customStyle="1">
    <w:name w:val="CommentTok"/>
    <w:qFormat/>
    <w:rPr>
      <w:i/>
      <w:color w:val="60A0B0"/>
    </w:rPr>
  </w:style>
  <w:style w:type="character" w:styleId="DocumentationTok" w:customStyle="1">
    <w:name w:val="DocumentationTok"/>
    <w:qFormat/>
    <w:rPr>
      <w:i/>
      <w:color w:val="BA2121"/>
    </w:rPr>
  </w:style>
  <w:style w:type="character" w:styleId="AnnotationTok" w:customStyle="1">
    <w:name w:val="AnnotationTok"/>
    <w:qFormat/>
    <w:rPr>
      <w:b/>
      <w:i/>
      <w:color w:val="60A0B0"/>
    </w:rPr>
  </w:style>
  <w:style w:type="character" w:styleId="CommentVarTok" w:customStyle="1">
    <w:name w:val="CommentVarTok"/>
    <w:qFormat/>
    <w:rPr>
      <w:b/>
      <w:i/>
      <w:color w:val="60A0B0"/>
    </w:rPr>
  </w:style>
  <w:style w:type="character" w:styleId="OtherTok" w:customStyle="1">
    <w:name w:val="OtherTok"/>
    <w:qFormat/>
    <w:rPr>
      <w:color w:val="007020"/>
    </w:rPr>
  </w:style>
  <w:style w:type="character" w:styleId="FunctionTok" w:customStyle="1">
    <w:name w:val="FunctionTok"/>
    <w:qFormat/>
    <w:rPr>
      <w:color w:val="06287E"/>
    </w:rPr>
  </w:style>
  <w:style w:type="character" w:styleId="VariableTok" w:customStyle="1">
    <w:name w:val="VariableTok"/>
    <w:qFormat/>
    <w:rPr>
      <w:color w:val="19177C"/>
    </w:rPr>
  </w:style>
  <w:style w:type="character" w:styleId="ControlFlowTok" w:customStyle="1">
    <w:name w:val="ControlFlowTok"/>
    <w:qFormat/>
    <w:rPr>
      <w:b/>
      <w:color w:val="007020"/>
    </w:rPr>
  </w:style>
  <w:style w:type="character" w:styleId="OperatorTok" w:customStyle="1">
    <w:name w:val="OperatorTok"/>
    <w:qFormat/>
    <w:rPr>
      <w:color w:val="666666"/>
    </w:rPr>
  </w:style>
  <w:style w:type="character" w:styleId="BuiltInTok" w:customStyle="1">
    <w:name w:val="BuiltInTok"/>
    <w:qFormat/>
    <w:rPr>
      <w:color w:val="008000"/>
    </w:rPr>
  </w:style>
  <w:style w:type="character" w:styleId="ExtensionTok" w:customStyle="1">
    <w:name w:val="ExtensionTok"/>
    <w:qFormat/>
    <w:rPr/>
  </w:style>
  <w:style w:type="character" w:styleId="PreprocessorTok" w:customStyle="1">
    <w:name w:val="PreprocessorTok"/>
    <w:qFormat/>
    <w:rPr>
      <w:color w:val="BC7A00"/>
    </w:rPr>
  </w:style>
  <w:style w:type="character" w:styleId="AttributeTok" w:customStyle="1">
    <w:name w:val="AttributeTok"/>
    <w:qFormat/>
    <w:rPr>
      <w:color w:val="7D9029"/>
    </w:rPr>
  </w:style>
  <w:style w:type="character" w:styleId="RegionMarkerTok" w:customStyle="1">
    <w:name w:val="RegionMarkerTok"/>
    <w:qFormat/>
    <w:rPr/>
  </w:style>
  <w:style w:type="character" w:styleId="InformationTok" w:customStyle="1">
    <w:name w:val="InformationTok"/>
    <w:qFormat/>
    <w:rPr>
      <w:b/>
      <w:i/>
      <w:color w:val="60A0B0"/>
    </w:rPr>
  </w:style>
  <w:style w:type="character" w:styleId="WarningTok" w:customStyle="1">
    <w:name w:val="WarningTok"/>
    <w:qFormat/>
    <w:rPr>
      <w:b/>
      <w:i/>
      <w:color w:val="60A0B0"/>
    </w:rPr>
  </w:style>
  <w:style w:type="character" w:styleId="AlertTok" w:customStyle="1">
    <w:name w:val="AlertTok"/>
    <w:qFormat/>
    <w:rPr>
      <w:b/>
      <w:color w:val="FF0000"/>
    </w:rPr>
  </w:style>
  <w:style w:type="character" w:styleId="ErrorTok" w:customStyle="1">
    <w:name w:val="ErrorTok"/>
    <w:qFormat/>
    <w:rPr>
      <w:b/>
      <w:color w:val="FF0000"/>
    </w:rPr>
  </w:style>
  <w:style w:type="character" w:styleId="NormalTok" w:customStyle="1">
    <w:name w:val="NormalTok"/>
    <w:qFormat/>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jc w:val="center"/>
    </w:pPr>
    <w:rPr>
      <w:rFonts w:ascii="Inter" w:hAnsi="Inter" w:eastAsia="Inter"/>
      <w:b/>
      <w:bCs/>
      <w:i/>
      <w:color w:val="465762"/>
      <w:sz w:val="17"/>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GB"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80"/>
      <w:contextualSpacing/>
      <w:jc w:val="center"/>
    </w:pPr>
    <w:rPr>
      <w:rFonts w:ascii="Calibri" w:hAnsi="Calibri" w:eastAsia="" w:cs="" w:asciiTheme="majorHAnsi" w:cstheme="majorBidi" w:eastAsiaTheme="majorEastAsia" w:hAnsiTheme="majorHAnsi"/>
      <w:b/>
      <w:color w:val="173B57"/>
      <w:spacing w:val="5"/>
      <w:kern w:val="2"/>
      <w:sz w:val="68"/>
      <w:szCs w:val="52"/>
    </w:rPr>
  </w:style>
  <w:style w:type="paragraph" w:styleId="Subtitle">
    <w:name w:val="Subtitle"/>
    <w:basedOn w:val="Normal"/>
    <w:next w:val="Normal"/>
    <w:link w:val="SubtitleChar"/>
    <w:uiPriority w:val="11"/>
    <w:qFormat/>
    <w:rsid w:val="00fc693f"/>
    <w:pPr>
      <w:keepNext w:val="true"/>
      <w:spacing w:before="0" w:after="360"/>
      <w:jc w:val="center"/>
    </w:pPr>
    <w:rPr>
      <w:rFonts w:ascii="Calibri" w:hAnsi="Calibri" w:eastAsia="" w:cs="" w:asciiTheme="majorHAnsi" w:cstheme="majorBidi" w:eastAsiaTheme="majorEastAsia" w:hAnsiTheme="majorHAnsi"/>
      <w:b/>
      <w:i/>
      <w:iCs/>
      <w:color w:val="46697F"/>
      <w:spacing w:val="15"/>
      <w:sz w:val="30"/>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40"/>
      <w:contextualSpacing/>
    </w:pPr>
    <w:rPr>
      <w:rFonts w:ascii="Noto Serif" w:hAnsi="Noto Serif"/>
      <w:sz w:val="20"/>
    </w:rPr>
  </w:style>
  <w:style w:type="paragraph" w:styleId="ListBullet2">
    <w:name w:val="List Bullet 2"/>
    <w:basedOn w:val="Normal"/>
    <w:uiPriority w:val="99"/>
    <w:unhideWhenUsed/>
    <w:rsid w:val="00326f90"/>
    <w:pPr>
      <w:numPr>
        <w:ilvl w:val="0"/>
        <w:numId w:val="2"/>
      </w:numPr>
      <w:spacing w:before="0" w:after="40"/>
      <w:contextualSpacing/>
    </w:pPr>
    <w:rPr>
      <w:rFonts w:ascii="Noto Serif" w:hAnsi="Noto Serif"/>
      <w:sz w:val="20"/>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40"/>
      <w:contextualSpacing/>
    </w:pPr>
    <w:rPr>
      <w:rFonts w:ascii="Noto Serif" w:hAnsi="Noto Serif"/>
      <w:sz w:val="20"/>
    </w:rPr>
  </w:style>
  <w:style w:type="paragraph" w:styleId="ListNumber2">
    <w:name w:val="List Number 2"/>
    <w:basedOn w:val="Normal"/>
    <w:uiPriority w:val="99"/>
    <w:unhideWhenUsed/>
    <w:rsid w:val="0029639d"/>
    <w:pPr>
      <w:numPr>
        <w:ilvl w:val="0"/>
        <w:numId w:val="5"/>
      </w:numPr>
      <w:spacing w:before="0" w:after="40"/>
      <w:contextualSpacing/>
    </w:pPr>
    <w:rPr>
      <w:rFonts w:ascii="Noto Serif" w:hAnsi="Noto Serif"/>
      <w:sz w:val="20"/>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GB" w:eastAsia="en-US" w:bidi="ar-SA"/>
    </w:rPr>
  </w:style>
  <w:style w:type="paragraph" w:styleId="Quote">
    <w:name w:val="Quote"/>
    <w:basedOn w:val="Normal"/>
    <w:next w:val="Normal"/>
    <w:link w:val="QuoteChar"/>
    <w:uiPriority w:val="29"/>
    <w:qFormat/>
    <w:rsid w:val="00fc693f"/>
    <w:pPr>
      <w:ind w:left="454" w:right="454"/>
    </w:pPr>
    <w:rPr>
      <w:rFonts w:ascii="Inter" w:hAnsi="Inter" w:eastAsia="Inter"/>
      <w:i/>
      <w:iCs/>
      <w:color w:val="465762"/>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eastAsia="Inter"/>
      <w:b/>
      <w:bCs/>
      <w:i/>
      <w:iCs/>
      <w:color w:val="465762"/>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rFonts w:ascii="Inter Display" w:hAnsi="Inter Display"/>
      <w:b/>
      <w:sz w:val="44"/>
    </w:rPr>
  </w:style>
  <w:style w:type="paragraph" w:styleId="Author" w:customStyle="1">
    <w:name w:val="Author"/>
    <w:qFormat/>
    <w:pPr>
      <w:keepNext w:val="true"/>
      <w:widowControl/>
      <w:suppressAutoHyphens w:val="true"/>
      <w:bidi w:val="0"/>
      <w:spacing w:lineRule="auto" w:line="276" w:before="0" w:after="120"/>
      <w:jc w:val="center"/>
    </w:pPr>
    <w:rPr>
      <w:rFonts w:ascii="Inter" w:hAnsi="Inter" w:eastAsia="Inter" w:cs=""/>
      <w:b/>
      <w:color w:val="5A6870"/>
      <w:kern w:val="0"/>
      <w:sz w:val="22"/>
      <w:szCs w:val="22"/>
      <w:lang w:val="en-GB" w:eastAsia="en-US" w:bidi="ar-SA"/>
    </w:rPr>
  </w:style>
  <w:style w:type="paragraph" w:styleId="Compact" w:customStyle="1">
    <w:name w:val="Compact"/>
    <w:basedOn w:val="Normal"/>
    <w:qFormat/>
    <w:pPr>
      <w:spacing w:lineRule="auto" w:line="240" w:before="0" w:after="0"/>
    </w:pPr>
    <w:rPr>
      <w:rFonts w:ascii="Inter" w:hAnsi="Inter" w:eastAsia="Inter"/>
      <w:color w:val="232B31"/>
      <w:sz w:val="17"/>
    </w:rPr>
  </w:style>
  <w:style w:type="paragraph" w:styleId="KeyPoint" w:customStyle="1">
    <w:name w:val="Key Point"/>
    <w:basedOn w:val="Normal"/>
    <w:qFormat/>
    <w:pPr>
      <w:pBdr>
        <w:left w:val="single" w:sz="18" w:space="6" w:color="1D6174"/>
      </w:pBdr>
      <w:shd w:fill="EAF3F7"/>
      <w:spacing w:before="100" w:after="120"/>
      <w:ind w:left="227" w:right="113"/>
    </w:pPr>
    <w:rPr>
      <w:rFonts w:ascii="Inter" w:hAnsi="Inter"/>
      <w:sz w:val="19"/>
    </w:rPr>
  </w:style>
  <w:style w:type="paragraph" w:styleId="Warning" w:customStyle="1">
    <w:name w:val="Warning"/>
    <w:basedOn w:val="Normal"/>
    <w:qFormat/>
    <w:pPr>
      <w:pBdr>
        <w:left w:val="single" w:sz="18" w:space="6" w:color="B97A20"/>
      </w:pBdr>
      <w:shd w:fill="FDF4E3"/>
      <w:spacing w:before="100" w:after="120"/>
      <w:ind w:left="227" w:right="113"/>
    </w:pPr>
    <w:rPr>
      <w:rFonts w:ascii="Inter" w:hAnsi="Inter"/>
      <w:sz w:val="19"/>
    </w:rPr>
  </w:style>
  <w:style w:type="paragraph" w:styleId="Definition" w:customStyle="1">
    <w:name w:val="Definition"/>
    <w:basedOn w:val="Normal"/>
    <w:qFormat/>
    <w:pPr>
      <w:pBdr>
        <w:left w:val="single" w:sz="18" w:space="6" w:color="604B8C"/>
      </w:pBdr>
      <w:shd w:fill="F3F0FA"/>
      <w:spacing w:before="100" w:after="120"/>
      <w:ind w:left="227" w:right="113"/>
    </w:pPr>
    <w:rPr>
      <w:rFonts w:ascii="Inter" w:hAnsi="Inter"/>
      <w:sz w:val="19"/>
    </w:rPr>
  </w:style>
  <w:style w:type="paragraph" w:styleId="SourceCode" w:customStyle="1">
    <w:name w:val="Source Code"/>
    <w:basedOn w:val="Normal"/>
    <w:qFormat/>
    <w:pPr/>
    <w:rPr/>
  </w:style>
  <w:style w:type="paragraph" w:styleId="PartTitle" w:customStyle="1">
    <w:name w:val="Part Title"/>
    <w:basedOn w:val="Heading1"/>
    <w:qFormat/>
    <w:pPr>
      <w:spacing w:before="3000" w:after="360"/>
      <w:jc w:val="center"/>
      <w:outlineLvl w:val="0"/>
    </w:pPr>
    <w:rPr>
      <w:rFonts w:ascii="Inter Display" w:hAnsi="Inter Display"/>
      <w:b/>
      <w:color w:val="173B57"/>
      <w:sz w:val="54"/>
    </w:rPr>
  </w:style>
  <w:style w:type="paragraph" w:styleId="TOC1">
    <w:name w:val="toc 1"/>
    <w:basedOn w:val="Index"/>
    <w:pPr>
      <w:tabs>
        <w:tab w:val="clear" w:pos="720"/>
        <w:tab w:val="right" w:pos="9638" w:leader="dot"/>
      </w:tabs>
      <w:spacing w:before="100" w:after="30"/>
      <w:ind w:hanging="0" w:left="0"/>
    </w:pPr>
    <w:rPr>
      <w:rFonts w:ascii="Inter" w:hAnsi="Inter"/>
      <w:b/>
      <w:sz w:val="21"/>
    </w:rPr>
  </w:style>
  <w:style w:type="paragraph" w:styleId="TOC2">
    <w:name w:val="toc 2"/>
    <w:basedOn w:val="Index"/>
    <w:pPr>
      <w:tabs>
        <w:tab w:val="clear" w:pos="720"/>
        <w:tab w:val="right" w:pos="9355" w:leader="dot"/>
      </w:tabs>
      <w:spacing w:before="24" w:after="16"/>
      <w:ind w:hanging="0" w:left="317"/>
    </w:pPr>
    <w:rPr>
      <w:rFonts w:ascii="Inter" w:hAnsi="Inter"/>
      <w:b w:val="false"/>
      <w:sz w:val="19"/>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
    <w:name w:val="Table"/>
    <w:rPr>
      <w:sz w:val="17"/>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png"/><Relationship Id="rId17" Type="http://schemas.openxmlformats.org/officeDocument/2006/relationships/image" Target="media/image15.png"/><Relationship Id="rId18" Type="http://schemas.openxmlformats.org/officeDocument/2006/relationships/image" Target="media/image2.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3.png"/><Relationship Id="rId27" Type="http://schemas.openxmlformats.org/officeDocument/2006/relationships/image" Target="media/image24.png"/><Relationship Id="rId28" Type="http://schemas.openxmlformats.org/officeDocument/2006/relationships/image" Target="media/image25.png"/><Relationship Id="rId29" Type="http://schemas.openxmlformats.org/officeDocument/2006/relationships/image" Target="media/image26.png"/><Relationship Id="rId30" Type="http://schemas.openxmlformats.org/officeDocument/2006/relationships/image" Target="media/image27.png"/><Relationship Id="rId31" Type="http://schemas.openxmlformats.org/officeDocument/2006/relationships/image" Target="media/image28.png"/><Relationship Id="rId32" Type="http://schemas.openxmlformats.org/officeDocument/2006/relationships/image" Target="media/image29.png"/><Relationship Id="rId33" Type="http://schemas.openxmlformats.org/officeDocument/2006/relationships/image" Target="media/image30.png"/><Relationship Id="rId34" Type="http://schemas.openxmlformats.org/officeDocument/2006/relationships/image" Target="media/image31.png"/><Relationship Id="rId35" Type="http://schemas.openxmlformats.org/officeDocument/2006/relationships/image" Target="media/image32.png"/><Relationship Id="rId36" Type="http://schemas.openxmlformats.org/officeDocument/2006/relationships/image" Target="media/image33.png"/><Relationship Id="rId37" Type="http://schemas.openxmlformats.org/officeDocument/2006/relationships/image" Target="media/image34.png"/><Relationship Id="rId38" Type="http://schemas.openxmlformats.org/officeDocument/2006/relationships/image" Target="media/image35.png"/><Relationship Id="rId39" Type="http://schemas.openxmlformats.org/officeDocument/2006/relationships/image" Target="media/image36.png"/><Relationship Id="rId40" Type="http://schemas.openxmlformats.org/officeDocument/2006/relationships/image" Target="media/image37.png"/><Relationship Id="rId41" Type="http://schemas.openxmlformats.org/officeDocument/2006/relationships/image" Target="media/image38.png"/><Relationship Id="rId42" Type="http://schemas.openxmlformats.org/officeDocument/2006/relationships/image" Target="media/image39.png"/><Relationship Id="rId43" Type="http://schemas.openxmlformats.org/officeDocument/2006/relationships/image" Target="media/image40.png"/><Relationship Id="rId44" Type="http://schemas.openxmlformats.org/officeDocument/2006/relationships/image" Target="media/image41.png"/><Relationship Id="rId45" Type="http://schemas.openxmlformats.org/officeDocument/2006/relationships/image" Target="media/image42.png"/><Relationship Id="rId46" Type="http://schemas.openxmlformats.org/officeDocument/2006/relationships/image" Target="media/image43.png"/><Relationship Id="rId47" Type="http://schemas.openxmlformats.org/officeDocument/2006/relationships/image" Target="media/image44.png"/><Relationship Id="rId48" Type="http://schemas.openxmlformats.org/officeDocument/2006/relationships/image" Target="media/image45.png"/><Relationship Id="rId49" Type="http://schemas.openxmlformats.org/officeDocument/2006/relationships/image" Target="media/image5.png"/><Relationship Id="rId50" Type="http://schemas.openxmlformats.org/officeDocument/2006/relationships/image" Target="media/image6.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image" Target="media/image46.png"/><Relationship Id="rId55" Type="http://schemas.openxmlformats.org/officeDocument/2006/relationships/image" Target="media/image1.png"/><Relationship Id="rId56" Type="http://schemas.openxmlformats.org/officeDocument/2006/relationships/image" Target="media/image11.png"/><Relationship Id="rId57" Type="http://schemas.openxmlformats.org/officeDocument/2006/relationships/image" Target="media/image13.png"/><Relationship Id="rId58" Type="http://schemas.openxmlformats.org/officeDocument/2006/relationships/image" Target="media/image47.png"/><Relationship Id="rId59" Type="http://schemas.openxmlformats.org/officeDocument/2006/relationships/image" Target="media/image40.png"/><Relationship Id="rId60" Type="http://schemas.openxmlformats.org/officeDocument/2006/relationships/image" Target="media/image42.png"/><Relationship Id="rId61" Type="http://schemas.openxmlformats.org/officeDocument/2006/relationships/image" Target="media/image36.png"/><Relationship Id="rId62" Type="http://schemas.openxmlformats.org/officeDocument/2006/relationships/image" Target="media/image37.png"/><Relationship Id="rId63" Type="http://schemas.openxmlformats.org/officeDocument/2006/relationships/image" Target="media/image38.png"/><Relationship Id="rId64" Type="http://schemas.openxmlformats.org/officeDocument/2006/relationships/image" Target="media/image39.png"/><Relationship Id="rId65" Type="http://schemas.openxmlformats.org/officeDocument/2006/relationships/image" Target="media/image48.png"/><Relationship Id="rId66" Type="http://schemas.openxmlformats.org/officeDocument/2006/relationships/image" Target="media/image49.png"/><Relationship Id="rId67" Type="http://schemas.openxmlformats.org/officeDocument/2006/relationships/image" Target="media/image50.png"/><Relationship Id="rId68" Type="http://schemas.openxmlformats.org/officeDocument/2006/relationships/image" Target="media/image51.png"/><Relationship Id="rId69" Type="http://schemas.openxmlformats.org/officeDocument/2006/relationships/image" Target="media/image52.png"/><Relationship Id="rId70" Type="http://schemas.openxmlformats.org/officeDocument/2006/relationships/image" Target="media/image53.png"/><Relationship Id="rId71" Type="http://schemas.openxmlformats.org/officeDocument/2006/relationships/image" Target="media/image54.png"/><Relationship Id="rId72" Type="http://schemas.openxmlformats.org/officeDocument/2006/relationships/image" Target="media/image55.png"/><Relationship Id="rId73" Type="http://schemas.openxmlformats.org/officeDocument/2006/relationships/image" Target="media/image56.png"/><Relationship Id="rId74" Type="http://schemas.openxmlformats.org/officeDocument/2006/relationships/image" Target="media/image57.png"/><Relationship Id="rId75" Type="http://schemas.openxmlformats.org/officeDocument/2006/relationships/image" Target="media/image58.png"/><Relationship Id="rId76" Type="http://schemas.openxmlformats.org/officeDocument/2006/relationships/image" Target="media/image59.png"/><Relationship Id="rId77" Type="http://schemas.openxmlformats.org/officeDocument/2006/relationships/image" Target="media/image60.png"/><Relationship Id="rId78" Type="http://schemas.openxmlformats.org/officeDocument/2006/relationships/image" Target="media/image61.png"/><Relationship Id="rId79" Type="http://schemas.openxmlformats.org/officeDocument/2006/relationships/image" Target="media/image62.png"/><Relationship Id="rId80" Type="http://schemas.openxmlformats.org/officeDocument/2006/relationships/image" Target="media/image63.png"/><Relationship Id="rId81" Type="http://schemas.openxmlformats.org/officeDocument/2006/relationships/header" Target="header1.xml"/><Relationship Id="rId82" Type="http://schemas.openxmlformats.org/officeDocument/2006/relationships/header" Target="header2.xml"/><Relationship Id="rId83" Type="http://schemas.openxmlformats.org/officeDocument/2006/relationships/header" Target="header3.xml"/><Relationship Id="rId84" Type="http://schemas.openxmlformats.org/officeDocument/2006/relationships/footer" Target="footer1.xml"/><Relationship Id="rId85" Type="http://schemas.openxmlformats.org/officeDocument/2006/relationships/footer" Target="footer2.xml"/><Relationship Id="rId86" Type="http://schemas.openxmlformats.org/officeDocument/2006/relationships/footer" Target="footer3.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129</Pages>
  <Words>23779</Words>
  <Characters>152921</Characters>
  <CharactersWithSpaces>173402</CharactersWithSpaces>
  <Paragraphs>2740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Final Publication Edition 3.3. Carries forward the Edition 3.2 economic constitution and technical architecture unchanged and adds macroeconomic thesis and scope clarification.</dc:description>
  <dc:language>en-US</dc:language>
  <cp:lastModifiedBy/>
  <dcterms:modified xsi:type="dcterms:W3CDTF">2026-10-16T21:21:58Z</dcterms:modified>
  <cp:revision>6</cp:revision>
  <dc:subject>Macroeconomic Thesis and Scope Clarification</dc:subject>
  <dc:title>Voxonomics Whitepaper — Final Publication Edition 3.3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16 October 2026</vt:lpwstr>
  </property>
  <property fmtid="{D5CDD505-2E9C-101B-9397-08002B2CF9AE}" pid="3" name="subtitle">
    <vt:lpwstr>Final Publication Edition 3.3 — Macroeconomic Thesis and Scope Clarification</vt:lpwstr>
  </property>
  <property fmtid="{D5CDD505-2E9C-101B-9397-08002B2CF9AE}" pid="4" name="toc-title">
    <vt:lpwstr>Contents</vt:lpwstr>
  </property>
</Properties>
</file>