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Heading1"/>
      </w:pPr>
      <w:r>
        <w:t xml:space="preserve">Cover</w:t>
      </w:r>
    </w:p>
    <w:p>
      <w:pPr>
        <w:pStyle w:val="Normal"/>
      </w:pPr>
      <w:r>
        <w:t xml:space="preserve">VOXONOMICS</w:t>
      </w:r>
    </w:p>
    <w:p>
      <w:pPr>
        <w:pStyle w:val="Normal"/>
      </w:pPr>
      <w:r>
        <w:t>Final Publication Edition — Version 3.4</w:t>
        <w:br/>
        <w:t>Four-Network Implementation Update and Scope Reconciliation</w:t>
      </w:r>
    </w:p>
    <w:p>
      <w:pPr>
        <w:pStyle w:val="Normal"/>
      </w:pPr>
      <w:r>
        <w:t xml:space="preserve">Voxonomics Research Framework</w:t>
      </w:r>
    </w:p>
    <w:p>
      <w:pPr>
        <w:pStyle w:val="Normal"/>
      </w:pPr>
      <w:r>
        <w:t xml:space="preserve">27 October 2026</w:t>
      </w:r>
    </w:p>
    <w:p>
      <w:pPr>
        <w:pStyle w:val="Normal"/>
      </w:pPr>
      <w:r>
        <w:t xml:space="preserve">VALUE SHOULD REFLECT VERIFIABLE ECONOMIC REALITY</w:t>
      </w:r>
    </w:p>
    <w:p>
      <w:pPr>
        <w:pStyle w:val="Heading1"/>
        <w:pageBreakBefore/>
      </w:pPr>
      <w:r>
        <w:t xml:space="preserve">Publication Notice</w:t>
      </w:r>
    </w:p>
    <w:p>
      <w:pPr>
        <w:pStyle w:val="Normal"/>
      </w:pPr>
      <w:r>
        <w:t>Edition: 3.4 — Final Publication Edition</w:t>
        <w:br/>
        <w:t>Publication date: 27 October 2026</w:t>
        <w:br/>
        <w:t>Document status: Constitutional and technical specification for the Voxonomics research framework</w:t>
      </w:r>
    </w:p>
    <w:p>
      <w:pPr>
        <w:pStyle w:val="Normal"/>
      </w:pPr>
      <w:r>
        <w:t xml:space="preserve">Voxonomics is an open economic measurement concept for evaluating public blockchain networks using comparable, reproducible and governable data standards. This whitepaper defines the constitutional principles, measurement methodology, analytical outputs, governance architecture and staged implementation path of the framework.</w:t>
      </w:r>
    </w:p>
    <w:p>
      <w:pPr>
        <w:pStyle w:val="Normal"/>
      </w:pPr>
      <w:r>
        <w:t xml:space="preserve">This document is not an offer to sell securities, an investment recommendation, a guarantee of financial return, or a representation that any token, protocol, market or decentralised autonomous organisation described here is currently deployed. References to VOX assets and the VOX Digital Forex Market describe an optional future implementation layer that is subject to technical validation, independent audits, legal review, liquidity safeguards and decentralised governance approval.</w:t>
      </w:r>
    </w:p>
    <w:p>
      <w:pPr>
        <w:pStyle w:val="Normal"/>
      </w:pPr>
      <w:r>
        <w:t>Final Publication Edition 3.4 is the controlling specification from 27 October 2026. Edition 3.3 is preserved as the prior publication; Editions 3.1 economics, 3.2 evidence architecture and 3.3 macroeconomic scope remain unchanged. The Phase-1 engineering programme covers Ethereum, Avalanche C-Chain, BNB Smart Chain and TRON; Solana is paused. Neither four-network engineering scope nor this publication establishes full collector certification, complete metric eligibility or an official published network score. All subsequent amendments require independently reviewable version control and preservation of earlier editions.</w:t>
      </w:r>
    </w:p>
    <w:p>
      <w:pPr>
        <w:pStyle w:val="Heading1"/>
        <w:pageBreakBefore/>
      </w:pPr>
      <w:r>
        <w:t>Edition 3.4 Change Statement</w:t>
      </w:r>
    </w:p>
    <w:p>
      <w:pPr>
        <w:pStyle w:val="Normal"/>
      </w:pPr>
      <w:r>
        <w:t>Final Publication Edition 3.4 — 27 October 2026. Supersedes Edition 3.3 as the published controlling version. Historical editions and their source digests remain preserved. This complete edition is reconstructed from the Edition 3.3 interactive reader and its 79 embedded original diagrams, not represented as an in-place byte-for-byte modification of the Edition 3.3 DOCX.</w:t>
      </w:r>
    </w:p>
    <w:p>
      <w:pPr>
        <w:pStyle w:val="Normal"/>
      </w:pPr>
      <w:r>
        <w:t xml:space="preserve">Purpose: reconcile the implementation description with the four-network engineering programme while preserving the economic constitution, technical evidence principles and macroeconomic thesis inherited from Editions 3.1, 3.2 and 3.3.</w:t>
      </w:r>
    </w:p>
    <w:p>
      <w:pPr>
        <w:pStyle w:val="Normal"/>
      </w:pPr>
      <w:r>
        <w:t>Publication amendments: Chapter 36 implementation cohort, Chapter 40 Vox-in-a-Box scope, and Chapter 43A four-network acquisition, custody, qualification and verification conditions. Edition 3.3 macroeconomic interpretation is retained.</w:t>
      </w:r>
    </w:p>
    <w:p>
      <w:pPr>
        <w:pStyle w:val="Normal"/>
      </w:pPr>
      <w:r>
        <w:t>The six parent indices, thirty canonical submetrics, one-sixth parent weights, VTS, ERU, VRI, Opportunity Gap, VRS, VCS, canonical transformations, benchmark rules and missing-evidence policies remain unchanged.</w:t>
      </w:r>
    </w:p>
    <w:p>
      <w:pPr>
        <w:pStyle w:val="Normal"/>
      </w:pPr>
      <w:r>
        <w:t xml:space="preserve">No historical result is recalculated merely because the implementation scope changed. Previously published editions and their publication digests remain preserved.</w:t>
      </w:r>
    </w:p>
    <w:p>
      <w:pPr>
        <w:pStyle w:val="Normal"/>
      </w:pPr>
      <w:r>
        <w:t>The complete reader and Word document have been compared with the inherited canonical registry, all 36 tables and all 79 embedded diagrams. This document-publication check does not qualify production collectors, guarantee reconstructability, or authorise any official score; separate governed evidence and independent certification remain necessary.</w:t>
      </w:r>
    </w:p>
    <w:p>
      <w:pPr>
        <w:pStyle w:val="Heading1"/>
        <w:pageBreakBefore/>
      </w:pPr>
      <w:r>
        <w:t xml:space="preserve">Edition 3.3 Change Statement</w:t>
      </w:r>
    </w:p>
    <w:p>
      <w:pPr>
        <w:pStyle w:val="Normal"/>
      </w:pPr>
      <w:r>
        <w:t xml:space="preserve">Edition 3.3 is limited to Macroeconomic Thesis and Scope Clarification. Edition 3.2 remains preserved as the prior Final Publication Edition. This edition does not authorise official scoring, collector changes, recalculation or evidence migration.</w:t>
      </w:r>
    </w:p>
    <w:p>
      <w:pPr>
        <w:pStyle w:val="Normal"/>
      </w:pPr>
      <w:r>
        <w:t xml:space="preserve">The inherited Edition 3.2 economic constitution and technical architecture are carried forward unchanged. This includes PoV, OPI, DLI, PII, RWAI and ERI; all thirty canonical submetrics; equal one-sixth parent weights; VTS, ERU, VRI, Opportunity Gap, VRS and VCS mathematics; directionality, benchmark and missing-data rules; collector architecture; certification logic; evidence architecture; and Vox-in-a-Box architecture.</w:t>
      </w:r>
    </w:p>
    <w:p>
      <w:pPr>
        <w:pStyle w:val="Normal"/>
      </w:pPr>
      <w:r>
        <w:t xml:space="preserve">Migration rule and impact analysis: no historical observation, calculation, benchmark, methodology identifier, adapter or runtime configuration changes because of this edition. No recalculation or evidence migration is required. References to Edition 3.1 or 3.2 inside inherited provisions identify their origin and remain applicable without modification. The new macroeconomic discussion supplies context, not an additional scoring rule, price deflator or calibration input.</w:t>
      </w:r>
    </w:p>
    <w:p>
      <w:pPr>
        <w:pStyle w:val="Normal"/>
      </w:pPr>
      <w:r>
        <w:t xml:space="preserve">Change locations: the Abstract and Executive Summary additions; Sections 1.6–1.10; macroeconomic references M1–M6 in Appendix K; and the complete L.3 change record. Existing numbered chapters, appendices, tables, figures, reference numbering and technical cross-references retain their identities.</w:t>
      </w:r>
    </w:p>
    <w:p>
      <w:pPr>
        <w:pStyle w:val="Heading1"/>
        <w:pageBreakBefore/>
      </w:pPr>
      <w:r>
        <w:t xml:space="preserve">Edition 3.2 Change Statement</w:t>
      </w:r>
    </w:p>
    <w:p>
      <w:pPr>
        <w:pStyle w:val="Normal"/>
      </w:pPr>
      <w:r>
        <w:t xml:space="preserve">Edition 3.2 is an additive architecture edition. It does not replace or reinterpret the economic methodology defined in Edition 3.1. The six parent indices, their equal parent weighting, the thirty canonical submetrics, VTS construction, ERU, VRI, Opportunity Gap, VRS, VCS, normalisation, directionality, benchmark logic, missing-data rules and chain-agnostic measurement definitions are carried forward unchanged.</w:t>
      </w:r>
    </w:p>
    <w:p>
      <w:pPr>
        <w:pStyle w:val="Normal"/>
      </w:pPr>
      <w:r>
        <w:t xml:space="preserve">Edition 3.2 formalises the infrastructure required to make the Edition 3.1 verifiability principle operational at scale: preservation of authoritative evidence, lifecycle governance, evidence retirement eligibility, reproducibility, distributed Vox-in-a-Box data/evidence nodes, replication and reconciliation, public-service security boundaries, and transparent disclosure of AI-assisted development.</w:t>
      </w:r>
    </w:p>
    <w:p>
      <w:pPr>
        <w:pStyle w:val="Normal"/>
      </w:pPr>
      <w:r>
        <w:t xml:space="preserve">Migration rule: no Edition 3.1 economic score requires recalculation merely because Edition 3.2 is published. Historical Edition 3.1 results remain identifiable under their original methodology version. Edition 3.2 evidence-governance rules apply to new 3.2 publications and to historical evidence only when that evidence is migrated or repackaged into a 3.2-compliant representation.</w:t>
      </w:r>
    </w:p>
    <w:p>
      <w:pPr>
        <w:pStyle w:val="Normal"/>
      </w:pPr>
      <w:r>
        <w:t xml:space="preserve">Impact analysis: Edition 3.2 changes evidence custody, storage, node and publication architecture; it does not change what the six economic indices mean or how the thirty canonical submetrics contribute to them. A difference between a 3.1 and 3.2 output must therefore arise from evidence, data, correction, benchmark state or another explicitly versioned cause—not from an undisclosed change to the economic constitution.</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Area</w:t>
            </w:r>
          </w:p>
        </w:tc>
        <w:tc>
          <w:tcPr>
            <w:tcW w:w="4550" w:type="dxa"/>
          </w:tcPr>
          <w:p>
            <w:pPr>
              <w:pStyle w:val="TableHeader"/>
            </w:pPr>
            <w:r>
              <w:t xml:space="preserve">Edition 3.2 treatment</w:t>
            </w:r>
          </w:p>
        </w:tc>
      </w:tr>
      <w:tr>
        <w:trPr>
          <w:cantSplit/>
        </w:trPr>
        <w:tc>
          <w:tcPr>
            <w:tcW w:w="4550" w:type="dxa"/>
          </w:tcPr>
          <w:p>
            <w:pPr>
              <w:pStyle w:val="TableText"/>
            </w:pPr>
            <w:r>
              <w:t xml:space="preserve">Six parent indices</w:t>
            </w:r>
          </w:p>
        </w:tc>
        <w:tc>
          <w:tcPr>
            <w:tcW w:w="4550" w:type="dxa"/>
          </w:tcPr>
          <w:p>
            <w:pPr>
              <w:pStyle w:val="TableText"/>
            </w:pPr>
            <w:r>
              <w:t xml:space="preserve">Unchanged: PoV, OPI, DLI, PII, RWAI and ERI</w:t>
            </w:r>
          </w:p>
        </w:tc>
      </w:tr>
      <w:tr>
        <w:trPr>
          <w:cantSplit/>
        </w:trPr>
        <w:tc>
          <w:tcPr>
            <w:tcW w:w="4550" w:type="dxa"/>
          </w:tcPr>
          <w:p>
            <w:pPr>
              <w:pStyle w:val="TableText"/>
            </w:pPr>
            <w:r>
              <w:t xml:space="preserve">Parent weighting</w:t>
            </w:r>
          </w:p>
        </w:tc>
        <w:tc>
          <w:tcPr>
            <w:tcW w:w="4550" w:type="dxa"/>
          </w:tcPr>
          <w:p>
            <w:pPr>
              <w:pStyle w:val="TableText"/>
            </w:pPr>
            <w:r>
              <w:t xml:space="preserve">Unchanged: each parent receives one-sixth of core VTS</w:t>
            </w:r>
          </w:p>
        </w:tc>
      </w:tr>
      <w:tr>
        <w:trPr>
          <w:cantSplit/>
        </w:trPr>
        <w:tc>
          <w:tcPr>
            <w:tcW w:w="4550" w:type="dxa"/>
          </w:tcPr>
          <w:p>
            <w:pPr>
              <w:pStyle w:val="TableText"/>
            </w:pPr>
            <w:r>
              <w:t xml:space="preserve">Thirty canonical submetrics</w:t>
            </w:r>
          </w:p>
        </w:tc>
        <w:tc>
          <w:tcPr>
            <w:tcW w:w="4550" w:type="dxa"/>
          </w:tcPr>
          <w:p>
            <w:pPr>
              <w:pStyle w:val="TableText"/>
            </w:pPr>
            <w:r>
              <w:t xml:space="preserve">Unchanged</w:t>
            </w:r>
          </w:p>
        </w:tc>
      </w:tr>
      <w:tr>
        <w:trPr>
          <w:cantSplit/>
        </w:trPr>
        <w:tc>
          <w:tcPr>
            <w:tcW w:w="4550" w:type="dxa"/>
          </w:tcPr>
          <w:p>
            <w:pPr>
              <w:pStyle w:val="TableText"/>
            </w:pPr>
            <w:r>
              <w:t xml:space="preserve">VTS / ERU / VRI / Opportunity Gap / VRS / VCS</w:t>
            </w:r>
          </w:p>
        </w:tc>
        <w:tc>
          <w:tcPr>
            <w:tcW w:w="4550" w:type="dxa"/>
          </w:tcPr>
          <w:p>
            <w:pPr>
              <w:pStyle w:val="TableText"/>
            </w:pPr>
            <w:r>
              <w:t xml:space="preserve">Unchanged analytical methodology</w:t>
            </w:r>
          </w:p>
        </w:tc>
      </w:tr>
      <w:tr>
        <w:trPr>
          <w:cantSplit/>
        </w:trPr>
        <w:tc>
          <w:tcPr>
            <w:tcW w:w="4550" w:type="dxa"/>
          </w:tcPr>
          <w:p>
            <w:pPr>
              <w:pStyle w:val="TableText"/>
            </w:pPr>
            <w:r>
              <w:t xml:space="preserve">Evidence architecture</w:t>
            </w:r>
          </w:p>
        </w:tc>
        <w:tc>
          <w:tcPr>
            <w:tcW w:w="4550" w:type="dxa"/>
          </w:tcPr>
          <w:p>
            <w:pPr>
              <w:pStyle w:val="TableText"/>
            </w:pPr>
            <w:r>
              <w:t xml:space="preserve">Expanded and formalised</w:t>
            </w:r>
          </w:p>
        </w:tc>
      </w:tr>
      <w:tr>
        <w:trPr>
          <w:cantSplit/>
        </w:trPr>
        <w:tc>
          <w:tcPr>
            <w:tcW w:w="4550" w:type="dxa"/>
          </w:tcPr>
          <w:p>
            <w:pPr>
              <w:pStyle w:val="TableText"/>
            </w:pPr>
            <w:r>
              <w:t xml:space="preserve">Vox-in-a-Box nodes</w:t>
            </w:r>
          </w:p>
        </w:tc>
        <w:tc>
          <w:tcPr>
            <w:tcW w:w="4550" w:type="dxa"/>
          </w:tcPr>
          <w:p>
            <w:pPr>
              <w:pStyle w:val="TableText"/>
            </w:pPr>
            <w:r>
              <w:t xml:space="preserve">New distributed data/evidence-node architecture</w:t>
            </w:r>
          </w:p>
        </w:tc>
      </w:tr>
      <w:tr>
        <w:trPr>
          <w:cantSplit/>
        </w:trPr>
        <w:tc>
          <w:tcPr>
            <w:tcW w:w="4550" w:type="dxa"/>
          </w:tcPr>
          <w:p>
            <w:pPr>
              <w:pStyle w:val="TableText"/>
            </w:pPr>
            <w:r>
              <w:t xml:space="preserve">Hosted public service</w:t>
            </w:r>
          </w:p>
        </w:tc>
        <w:tc>
          <w:tcPr>
            <w:tcW w:w="4550" w:type="dxa"/>
          </w:tcPr>
          <w:p>
            <w:pPr>
              <w:pStyle w:val="TableText"/>
            </w:pPr>
            <w:r>
              <w:t xml:space="preserve">Read-only publication boundary formalised</w:t>
            </w:r>
          </w:p>
        </w:tc>
      </w:tr>
      <w:tr>
        <w:trPr>
          <w:cantSplit/>
        </w:trPr>
        <w:tc>
          <w:tcPr>
            <w:tcW w:w="4550" w:type="dxa"/>
          </w:tcPr>
          <w:p>
            <w:pPr>
              <w:pStyle w:val="TableText"/>
            </w:pPr>
            <w:r>
              <w:t xml:space="preserve">AI-assisted development</w:t>
            </w:r>
          </w:p>
        </w:tc>
        <w:tc>
          <w:tcPr>
            <w:tcW w:w="4550" w:type="dxa"/>
          </w:tcPr>
          <w:p>
            <w:pPr>
              <w:pStyle w:val="TableText"/>
            </w:pPr>
            <w:r>
              <w:t xml:space="preserve">Transparency and authority boundaries added</w:t>
            </w:r>
          </w:p>
        </w:tc>
      </w:tr>
    </w:tbl>
    <w:p>
      <w:pPr>
        <w:pStyle w:val="Heading1"/>
        <w:pageBreakBefore/>
      </w:pPr>
      <w:r>
        <w:t xml:space="preserve">Abstract</w:t>
      </w:r>
    </w:p>
    <w:p>
      <w:pPr>
        <w:pStyle w:val="Normal"/>
      </w:pPr>
      <w:r>
        <w:t xml:space="preserve">Public blockchains increasingly function as digital economies. They coordinate participants, secure shared state, settle value, host applications, form liquid markets and support governance. Yet they are still compared primarily through token price, market capitalisation, narrative strength and short-term capital flows. These signals matter, but they do not provide a complete or neutral measurement of the economic system operating beneath the asset.</w:t>
      </w:r>
    </w:p>
    <w:p>
      <w:pPr>
        <w:pStyle w:val="Normal"/>
      </w:pPr>
      <w:r>
        <w:t xml:space="preserve">Voxonomics introduces a universal framework for measuring blockchain economies through six equally weighted indices: Proof of Value (PoV), On-Chain Participation Index (OPI), Decentralised Liquidity Index (DLI), Protocol Integrity Index (PII), Real-World Adoption Index (RWAI), and Economic Resilience Index (ERI). Each index is built from canonical economic definitions, implemented through chain-specific data adapters, normalised using transparent benchmark rules, and accompanied by provenance and confidence data.</w:t>
      </w:r>
    </w:p>
    <w:p>
      <w:pPr>
        <w:pStyle w:val="Normal"/>
      </w:pPr>
      <w:r>
        <w:t xml:space="preserve">The six indices form the Value Transfer Score (VTS). VTS measures intrinsic network economic performance; it is not a market-price forecast. A dynamic Economic Reference Unit (ERU) converts the raw composite into a standardised scale centred on 1.000000, enabling comparisons through time while allowing exceptional networks to score above one. Separate analytical layers measure market recognition through the Value Recognition Index (VRI), relative under- or over-recognition through the Opportunity Gap, aggregate structural risk through the VOX Risk Score (VRS), and evidence quality through the VOX Confidence Score (VCS).</w:t>
      </w:r>
    </w:p>
    <w:p>
      <w:pPr>
        <w:pStyle w:val="Normal"/>
      </w:pPr>
      <w:r>
        <w:t xml:space="preserve">The framework intentionally separates measurement from monetary implementation. Any public network can be measured without permission where sufficient verifiable data exists. Optional VOX units and V-FOREX markets may only be activated after confidence, audit, governance and market-safety thresholds are met. This separation prevents circular measurement, avoids unsupported claims of automatic market convergence, and preserves the primary purpose of Voxonomics: to establish a transparent economic language for decentralised networks.</w:t>
      </w:r>
    </w:p>
    <w:p>
      <w:pPr>
        <w:pStyle w:val="Normal"/>
      </w:pPr>
      <w:r>
        <w:t xml:space="preserve">Edition 3.2 extends that separation into evidence infrastructure. Every published Voxonomics value must remain traceable backwards to authoritative source evidence. Blockchain-derived measurements trace to preserved evidence tied to blocks, slots, transactions, logs, account state or equivalent network coordinates; authoritative external inputs trace to preserved source packages, ranges and retrieval provenance. The public dashboard and API are presentation and distribution surfaces, not the authority that creates or mutates canonical evidence.</w:t>
      </w:r>
    </w:p>
    <w:p>
      <w:pPr>
        <w:pStyle w:val="Normal"/>
      </w:pPr>
      <w:r>
        <w:t xml:space="preserve">Monetary price is not identical to underlying economic value. Voxonomics aims to measure observable economic fundamentals from evidence, independently of treating the measured network token’s price as the verdict on its performance. Public blockchains are the first proving ground. Broader evidence-based value intelligence is a long-term ambition requiring separate canonical frameworks for other domains; it is not an expansion of VTS in this edition.</w:t>
      </w:r>
    </w:p>
    <w:p>
      <w:pPr>
        <w:pStyle w:val="Heading1"/>
        <w:pageBreakBefore/>
      </w:pPr>
      <w:r>
        <w:t xml:space="preserve">Executive Summary</w:t>
      </w:r>
    </w:p>
    <w:p>
      <w:pPr>
        <w:pStyle w:val="Heading2"/>
      </w:pPr>
      <w:r>
        <w:t xml:space="preserve">The problem</w:t>
      </w:r>
    </w:p>
    <w:p>
      <w:pPr>
        <w:pStyle w:val="Normal"/>
      </w:pPr>
      <w:r>
        <w:t xml:space="preserve">Blockchain networks have created transparent ledgers and programmable economic infrastructure, but the market lacks a shared standard for evaluating them as economies. Token price and market capitalisation measure what the market currently pays. Total value locked measures only one part of capital deployment. Transaction count can be inflated by low-value activity. Revenue can be cyclical or subsidised. Governance participation, decentralisation, liquidity quality, security, adoption and resilience are often examined separately and with incompatible definitions.</w:t>
      </w:r>
    </w:p>
    <w:p>
      <w:pPr>
        <w:pStyle w:val="Normal"/>
      </w:pPr>
      <w:r>
        <w:t xml:space="preserve">The absence of a common framework produces three failures. First, fundamentally different networks are compared with incomplete indicators. Second, economic strength and market recognition are treated as the same thing. Third, the quality of the underlying evidence is rarely attached to the headline score.</w:t>
      </w:r>
    </w:p>
    <w:p>
      <w:pPr>
        <w:pStyle w:val="Heading2"/>
      </w:pPr>
      <w:r>
        <w:t xml:space="preserve">The solution</w:t>
      </w:r>
    </w:p>
    <w:p>
      <w:pPr>
        <w:pStyle w:val="Normal"/>
      </w:pPr>
      <w:r>
        <w:t xml:space="preserve">Voxonomics defines one universal framework with six equally weighted economic indices:</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Index</w:t>
            </w:r>
          </w:p>
        </w:tc>
        <w:tc>
          <w:tcPr>
            <w:tcW w:w="4550" w:type="dxa"/>
          </w:tcPr>
          <w:p>
            <w:pPr>
              <w:pStyle w:val="TableHeader"/>
            </w:pPr>
            <w:r>
              <w:t xml:space="preserve">Core question</w:t>
            </w:r>
          </w:p>
        </w:tc>
      </w:tr>
      <w:tr>
        <w:trPr>
          <w:cantSplit/>
        </w:trPr>
        <w:tc>
          <w:tcPr>
            <w:tcW w:w="4550" w:type="dxa"/>
          </w:tcPr>
          <w:p>
            <w:pPr>
              <w:pStyle w:val="TableText"/>
            </w:pPr>
            <w:r>
              <w:t xml:space="preserve">PoV</w:t>
            </w:r>
          </w:p>
        </w:tc>
        <w:tc>
          <w:tcPr>
            <w:tcW w:w="4550" w:type="dxa"/>
          </w:tcPr>
          <w:p>
            <w:pPr>
              <w:pStyle w:val="TableText"/>
            </w:pPr>
            <w:r>
              <w:t xml:space="preserve">Is the network producing verifiable and sustainable economic value?</w:t>
            </w:r>
          </w:p>
        </w:tc>
      </w:tr>
      <w:tr>
        <w:trPr>
          <w:cantSplit/>
        </w:trPr>
        <w:tc>
          <w:tcPr>
            <w:tcW w:w="4550" w:type="dxa"/>
          </w:tcPr>
          <w:p>
            <w:pPr>
              <w:pStyle w:val="TableText"/>
            </w:pPr>
            <w:r>
              <w:t xml:space="preserve">OPI</w:t>
            </w:r>
          </w:p>
        </w:tc>
        <w:tc>
          <w:tcPr>
            <w:tcW w:w="4550" w:type="dxa"/>
          </w:tcPr>
          <w:p>
            <w:pPr>
              <w:pStyle w:val="TableText"/>
            </w:pPr>
            <w:r>
              <w:t xml:space="preserve">Are participants actively using, securing, governing and developing the network?</w:t>
            </w:r>
          </w:p>
        </w:tc>
      </w:tr>
      <w:tr>
        <w:trPr>
          <w:cantSplit/>
        </w:trPr>
        <w:tc>
          <w:tcPr>
            <w:tcW w:w="4550" w:type="dxa"/>
          </w:tcPr>
          <w:p>
            <w:pPr>
              <w:pStyle w:val="TableText"/>
            </w:pPr>
            <w:r>
              <w:t xml:space="preserve">DLI</w:t>
            </w:r>
          </w:p>
        </w:tc>
        <w:tc>
          <w:tcPr>
            <w:tcW w:w="4550" w:type="dxa"/>
          </w:tcPr>
          <w:p>
            <w:pPr>
              <w:pStyle w:val="TableText"/>
            </w:pPr>
            <w:r>
              <w:t xml:space="preserve">Can value be exchanged at meaningful size without excessive concentration or slippage?</w:t>
            </w:r>
          </w:p>
        </w:tc>
      </w:tr>
      <w:tr>
        <w:trPr>
          <w:cantSplit/>
        </w:trPr>
        <w:tc>
          <w:tcPr>
            <w:tcW w:w="4550" w:type="dxa"/>
          </w:tcPr>
          <w:p>
            <w:pPr>
              <w:pStyle w:val="TableText"/>
            </w:pPr>
            <w:r>
              <w:t xml:space="preserve">PII</w:t>
            </w:r>
          </w:p>
        </w:tc>
        <w:tc>
          <w:tcPr>
            <w:tcW w:w="4550" w:type="dxa"/>
          </w:tcPr>
          <w:p>
            <w:pPr>
              <w:pStyle w:val="TableText"/>
            </w:pPr>
            <w:r>
              <w:t xml:space="preserve">Is the protocol secure, decentralised, available and operationally reliable?</w:t>
            </w:r>
          </w:p>
        </w:tc>
      </w:tr>
      <w:tr>
        <w:trPr>
          <w:cantSplit/>
        </w:trPr>
        <w:tc>
          <w:tcPr>
            <w:tcW w:w="4550" w:type="dxa"/>
          </w:tcPr>
          <w:p>
            <w:pPr>
              <w:pStyle w:val="TableText"/>
            </w:pPr>
            <w:r>
              <w:t xml:space="preserve">RWAI</w:t>
            </w:r>
          </w:p>
        </w:tc>
        <w:tc>
          <w:tcPr>
            <w:tcW w:w="4550" w:type="dxa"/>
          </w:tcPr>
          <w:p>
            <w:pPr>
              <w:pStyle w:val="TableText"/>
            </w:pPr>
            <w:r>
              <w:t xml:space="preserve">Is the network supporting verifiable real-world settlement, assets and use?</w:t>
            </w:r>
          </w:p>
        </w:tc>
      </w:tr>
      <w:tr>
        <w:trPr>
          <w:cantSplit/>
        </w:trPr>
        <w:tc>
          <w:tcPr>
            <w:tcW w:w="4550" w:type="dxa"/>
          </w:tcPr>
          <w:p>
            <w:pPr>
              <w:pStyle w:val="TableText"/>
            </w:pPr>
            <w:r>
              <w:t xml:space="preserve">ERI</w:t>
            </w:r>
          </w:p>
        </w:tc>
        <w:tc>
          <w:tcPr>
            <w:tcW w:w="4550" w:type="dxa"/>
          </w:tcPr>
          <w:p>
            <w:pPr>
              <w:pStyle w:val="TableText"/>
            </w:pPr>
            <w:r>
              <w:t xml:space="preserve">Can the network retain function and recover through economic and technical stress?</w:t>
            </w:r>
          </w:p>
        </w:tc>
      </w:tr>
    </w:tbl>
    <w:p>
      <w:pPr>
        <w:pStyle w:val="Normal"/>
      </w:pPr>
      <w:r>
        <w:t xml:space="preserve">Each parent index is scored from 0 to 100. The six parent indices always receive equal weight under the Edition 3.1 constitution, and Edition 3.2 carries that rule forward unchanged:</w:t>
      </w:r>
    </w:p>
    <w:p>
      <w:pPr>
        <w:jc w:val="center"/>
      </w:pPr>
      <w:r>
        <w:drawing>
          <wp:inline distT="0" distB="0" distL="0" distR="0">
            <wp:extent cx="5638800" cy="640080"/>
            <wp:docPr id="1" name="Figure 1" descr="Specification figure or equation in Executive Summary; original available in the DOCX"/>
            <a:graphic>
              <a:graphicData uri="http://schemas.openxmlformats.org/drawingml/2006/picture">
                <pic:pic>
                  <pic:nvPicPr>
                    <pic:cNvPr id="0" name="image1.png"/>
                    <pic:cNvPicPr/>
                  </pic:nvPicPr>
                  <pic:blipFill>
                    <a:blip r:embed="rId3"/>
                    <a:stretch>
                      <a:fillRect/>
                    </a:stretch>
                  </pic:blipFill>
                  <pic:spPr>
                    <a:xfrm>
                      <a:off x="0" y="0"/>
                      <a:ext cx="5638800" cy="640080"/>
                    </a:xfrm>
                    <a:prstGeom prst="rect">
                      <a:avLst/>
                    </a:prstGeom>
                  </pic:spPr>
                </pic:pic>
              </a:graphicData>
            </a:graphic>
          </wp:inline>
        </w:drawing>
      </w:r>
    </w:p>
    <w:p>
      <w:pPr>
        <w:pStyle w:val="Normal"/>
      </w:pPr>
      <w:r>
        <w:t xml:space="preserve">The result is a raw intrinsic score between 0 and 1. It is then expressed relative to the dynamic Economic Reference Unit:</w:t>
      </w:r>
    </w:p>
    <w:p>
      <w:pPr>
        <w:jc w:val="center"/>
      </w:pPr>
      <w:r>
        <w:drawing>
          <wp:inline distT="0" distB="0" distL="0" distR="0">
            <wp:extent cx="5638800" cy="2075078"/>
            <wp:docPr id="2" name="Figure 2" descr="Specification figure or equation in Executive Summary; original available in the DOCX"/>
            <a:graphic>
              <a:graphicData uri="http://schemas.openxmlformats.org/drawingml/2006/picture">
                <pic:pic>
                  <pic:nvPicPr>
                    <pic:cNvPr id="0" name="image2.png"/>
                    <pic:cNvPicPr/>
                  </pic:nvPicPr>
                  <pic:blipFill>
                    <a:blip r:embed="rId4"/>
                    <a:stretch>
                      <a:fillRect/>
                    </a:stretch>
                  </pic:blipFill>
                  <pic:spPr>
                    <a:xfrm>
                      <a:off x="0" y="0"/>
                      <a:ext cx="5638800" cy="2075078"/>
                    </a:xfrm>
                    <a:prstGeom prst="rect">
                      <a:avLst/>
                    </a:prstGeom>
                  </pic:spPr>
                </pic:pic>
              </a:graphicData>
            </a:graphic>
          </wp:inline>
        </w:drawing>
      </w:r>
    </w:p>
    <w:p>
      <w:pPr>
        <w:pStyle w:val="Normal"/>
      </w:pPr>
      <w:r>
        <w:t xml:space="preserve">The published ERU is displayed as 1.000000. A VTS of 1.000000 means the network equals the current high-quality reference benchmark. A score below one indicates performance below the benchmark; a score above one indicates performance above it. VTS is not artificially capped at one.</w:t>
      </w:r>
    </w:p>
    <w:p>
      <w:pPr>
        <w:pStyle w:val="Heading2"/>
      </w:pPr>
      <w:r>
        <w:t xml:space="preserve">Separate analytical outputs</w:t>
      </w:r>
    </w:p>
    <w:p>
      <w:pPr>
        <w:pStyle w:val="Normal"/>
      </w:pPr>
      <w:r>
        <w:t xml:space="preserve">Voxonomics does not collapse all decisions into a single number.</w:t>
      </w:r>
    </w:p>
    <w:p>
      <w:pPr>
        <w:pStyle w:val="ListParagraph"/>
      </w:pPr>
      <w:r>
        <w:t xml:space="preserve">• VRI measures the degree to which market valuation recognises network fundamentals.</w:t>
      </w:r>
    </w:p>
    <w:p>
      <w:pPr>
        <w:pStyle w:val="ListParagraph"/>
      </w:pPr>
      <w:r>
        <w:t xml:space="preserve">• Opportunity Gap compares intrinsic measurement with market recognition.</w:t>
      </w:r>
    </w:p>
    <w:p>
      <w:pPr>
        <w:pStyle w:val="ListParagraph"/>
      </w:pPr>
      <w:r>
        <w:t xml:space="preserve">• VRS summarises structural and operational risk; higher values mean greater risk.</w:t>
      </w:r>
    </w:p>
    <w:p>
      <w:pPr>
        <w:pStyle w:val="ListParagraph"/>
      </w:pPr>
      <w:r>
        <w:t xml:space="preserve">• VCS measures data coverage, source reliability, adapter quality, freshness and model certainty; higher values mean greater confidence.</w:t>
      </w:r>
    </w:p>
    <w:p>
      <w:pPr>
        <w:pStyle w:val="Normal"/>
      </w:pPr>
      <w:r>
        <w:t xml:space="preserve">The separation matters. A network can have strong fundamentals but high risk. It can be highly recognised by the market but weakly supported by measurable economic output. It can also appear attractive while having insufficient data quality for a reliable conclusion.</w:t>
      </w:r>
    </w:p>
    <w:p>
      <w:pPr>
        <w:pStyle w:val="Heading2"/>
      </w:pPr>
      <w:r>
        <w:t xml:space="preserve">Universal definitions, chain-specific adapters</w:t>
      </w:r>
    </w:p>
    <w:p>
      <w:pPr>
        <w:pStyle w:val="Normal"/>
      </w:pPr>
      <w:r>
        <w:t xml:space="preserve">Universal measurement does not require technically identical raw fields. Proof-of-work networks, proof-of-stake networks, rollups, application chains and modular networks secure and settle activity differently. Voxonomics therefore standardises the economic meaning of each submetric while allowing audited adapters to map that meaning to each architecture.</w:t>
      </w:r>
    </w:p>
    <w:p>
      <w:pPr>
        <w:pStyle w:val="Normal"/>
      </w:pPr>
      <w:r>
        <w:t xml:space="preserve">For example, the universal concept of consensus concentration may be measured using mining-pool block share on a proof-of-work chain, stake-controlled block production on a proof-of-stake chain, or sequencer control and escape mechanisms on a rollup. The definition remains universal; the extraction method is architecture-specific and publicly documented.</w:t>
      </w:r>
    </w:p>
    <w:p>
      <w:pPr>
        <w:pStyle w:val="Heading2"/>
      </w:pPr>
      <w:r>
        <w:t xml:space="preserve">Evidence preservation and Vox-in-a-Box nodes</w:t>
      </w:r>
    </w:p>
    <w:p>
      <w:pPr>
        <w:pStyle w:val="Normal"/>
      </w:pPr>
      <w:r>
        <w:t xml:space="preserve">Edition 3.2 makes preserved evidence part of the measurement architecture. A published number is never the end of the evidence chain: users must be able to move backwards from an output to the parent index, submetric, canonical measurement, observation, preserved evidence package and authoritative source coordinate or external source range that justified it.</w:t>
      </w:r>
    </w:p>
    <w:p>
      <w:pPr>
        <w:pStyle w:val="Normal"/>
      </w:pPr>
      <w:r>
        <w:t xml:space="preserve">Vox-in-a-Box nodes are independently operable Voxonomics data/evidence nodes. They may collect, preserve, reproduce measurements, verify manifests, replicate difficult-to-reacquire evidence, sign publications and challenge results. They decentralise acquisition, custody, reproduction and publication resilience without decentralising the methodology itself: one governed, versioned universal standard remains canonical.</w:t>
      </w:r>
    </w:p>
    <w:p>
      <w:pPr>
        <w:pStyle w:val="Heading2"/>
      </w:pPr>
      <w:r>
        <w:t xml:space="preserve">Measurement before tokenisation</w:t>
      </w:r>
    </w:p>
    <w:p>
      <w:pPr>
        <w:pStyle w:val="Normal"/>
      </w:pPr>
      <w:r>
        <w:t xml:space="preserve">The measurement system is independently useful. It can support researchers, investors, developers, institutions, communities and policy analysts without issuing a VOX token.</w:t>
      </w:r>
    </w:p>
    <w:p>
      <w:pPr>
        <w:pStyle w:val="Normal"/>
      </w:pPr>
      <w:r>
        <w:t xml:space="preserve">VOX units and V-FOREX are optional implementation layers. Their activation requires high confidence, independent audits, an explicit issuance and contraction mechanism, sufficient liquidity, bridge and settlement security, legal review, and governance approval. V-FOREX publishes a transparent VTS-derived reference rate, but does not claim that an unconstrained market price must automatically converge to that rate.</w:t>
      </w:r>
    </w:p>
    <w:p>
      <w:pPr>
        <w:pStyle w:val="Heading2"/>
      </w:pPr>
      <w:r>
        <w:t xml:space="preserve">Governance</w:t>
      </w:r>
    </w:p>
    <w:p>
      <w:pPr>
        <w:pStyle w:val="Normal"/>
      </w:pPr>
      <w:r>
        <w:t xml:space="preserve">One VOX DAO governs the measurement standard. The DAO governs definitions, approved submetrics, data standards, adapter certification, benchmark methodology, confidence thresholds, versioning, disputes and future upgrades. The Edition 3.1 constitutional restrictions remain in force in Edition 3.2. The DAO cannot:</w:t>
      </w:r>
    </w:p>
    <w:p>
      <w:pPr>
        <w:pStyle w:val="ListParagraph"/>
      </w:pPr>
      <w:r>
        <w:t xml:space="preserve">• change the equal weighting of the six parent VTS indices;</w:t>
      </w:r>
    </w:p>
    <w:p>
      <w:pPr>
        <w:pStyle w:val="ListParagraph"/>
      </w:pPr>
      <w:r>
        <w:t xml:space="preserve">• create chain-specific favourable rules;</w:t>
      </w:r>
    </w:p>
    <w:p>
      <w:pPr>
        <w:pStyle w:val="ListParagraph"/>
      </w:pPr>
      <w:r>
        <w:t xml:space="preserve">• alter historical scores retroactively;</w:t>
      </w:r>
    </w:p>
    <w:p>
      <w:pPr>
        <w:pStyle w:val="ListParagraph"/>
      </w:pPr>
      <w:r>
        <w:t xml:space="preserve">• conceal source data or calculation logic;</w:t>
      </w:r>
    </w:p>
    <w:p>
      <w:pPr>
        <w:pStyle w:val="ListParagraph"/>
      </w:pPr>
      <w:r>
        <w:t xml:space="preserve">• permit a chain to calculate its own special version of VTS.</w:t>
      </w:r>
    </w:p>
    <w:p>
      <w:pPr>
        <w:pStyle w:val="Normal"/>
      </w:pPr>
      <w:r>
        <w:t xml:space="preserve">Public chains do not require DAO permission to be observed. The DAO certifies whether an adapter and publication meet the standard; it does not grant a network the right to be measured.</w:t>
      </w:r>
    </w:p>
    <w:p>
      <w:pPr>
        <w:pStyle w:val="Heading2"/>
      </w:pPr>
      <w:r>
        <w:t xml:space="preserve">Purpose</w:t>
      </w:r>
    </w:p>
    <w:p>
      <w:pPr>
        <w:pStyle w:val="Normal"/>
      </w:pPr>
      <w:r>
        <w:t xml:space="preserve">Voxonomics is not presented as perfect economic truth. It is a transparent, reproducible model that converts public evidence into a common language. Its purpose is to improve comparison, expose assumptions, separate fundamentals from recognition, and create a foundation for decentralised macroeconomic analysis.</w:t>
      </w:r>
    </w:p>
    <w:p>
      <w:pPr>
        <w:pStyle w:val="Normal"/>
      </w:pPr>
      <w:r>
        <w:t xml:space="preserve">Value should reflect verifiable economic reality, and every published score should show the evidence, assumptions and uncertainty behind it.</w:t>
      </w:r>
    </w:p>
    <w:p>
      <w:pPr>
        <w:pStyle w:val="Normal"/>
      </w:pPr>
      <w:r>
        <w:t xml:space="preserve">Part I — Foundations</w:t>
      </w:r>
    </w:p>
    <w:p>
      <w:pPr>
        <w:pStyle w:val="Heading2"/>
      </w:pPr>
      <w:r>
        <w:t xml:space="preserve">Macroeconomic context and scope</w:t>
      </w:r>
    </w:p>
    <w:p>
      <w:pPr>
        <w:pStyle w:val="Normal"/>
      </w:pPr>
      <w:r>
        <w:t xml:space="preserve">Monetary price is not identical to underlying economic value. Voxonomics aims to measure observable economic fundamentals from evidence, independently of treating the measured network token’s price as the verdict on its performance. Public blockchains are the first proving ground. Broader evidence-based value intelligence is a long-term ambition requiring separate canonical frameworks for other domains; it is not an expansion of VTS in this edition.</w:t>
      </w:r>
    </w:p>
    <w:p>
      <w:pPr>
        <w:pStyle w:val="Normal"/>
      </w:pPr>
      <w:r>
        <w:t xml:space="preserve">Sections 1.6–1.10 distinguish value, price, wealth, money, currency, credit, debt, purchasing power, nominal change, real change and market recognition. These explanations do not change any score, benchmark, evidence requirement or technical architecture.</w:t>
      </w:r>
    </w:p>
    <w:p>
      <w:pPr>
        <w:pStyle w:val="Heading1"/>
        <w:pageBreakBefore/>
      </w:pPr>
      <w:r>
        <w:t xml:space="preserve">1. Introduction</w:t>
      </w:r>
    </w:p>
    <w:p>
      <w:pPr>
        <w:pStyle w:val="Heading2"/>
      </w:pPr>
      <w:r>
        <w:t xml:space="preserve">1.1 The economic layer missing from blockchain</w:t>
      </w:r>
    </w:p>
    <w:p>
      <w:pPr>
        <w:pStyle w:val="Normal"/>
      </w:pPr>
      <w:r>
        <w:t xml:space="preserve">Blockchains solved an important coordination problem: independent participants can agree on a shared transaction history without relying on a single database administrator. Bitcoin demonstrated peer-to-peer digital settlement secured by consensus rules [1]. Ethereum extended that model into a programmable state machine capable of executing general-purpose contracts [2]. Subsequent networks introduced different approaches to throughput, execution, interoperability, data availability and application-specific design.</w:t>
      </w:r>
    </w:p>
    <w:p>
      <w:pPr>
        <w:pStyle w:val="Normal"/>
      </w:pPr>
      <w:r>
        <w:t xml:space="preserve">The technology matured faster than its economic measurement. Public dashboards now expose price, supply, market capitalisation, total value locked, fees, revenue, user activity and liquidity. These metrics are valuable, but they do not form a coherent standard. Definitions vary by provider, chains are measured with incompatible assumptions, and short-term market values are frequently mistaken for long-term economic strength.</w:t>
      </w:r>
    </w:p>
    <w:p>
      <w:pPr>
        <w:pStyle w:val="Normal"/>
      </w:pPr>
      <w:r>
        <w:t xml:space="preserve">A mature economic system needs more than a price. National economies are assessed through multiple indicators, including output, participation, financial depth, institutional quality, adoption, stability and resilience. Blockchains require an equivalent framework designed for their own architecture rather than a direct copy of nation-state statistics.</w:t>
      </w:r>
    </w:p>
    <w:p>
      <w:pPr>
        <w:pStyle w:val="Normal"/>
      </w:pPr>
      <w:r>
        <w:t xml:space="preserve">Voxonomics supplies that missing layer. It measures networks as economic systems using a transparent standard that can be reproduced from public data.</w:t>
      </w:r>
    </w:p>
    <w:p>
      <w:pPr>
        <w:pStyle w:val="Heading2"/>
      </w:pPr>
      <w:r>
        <w:t xml:space="preserve">1.2 Emotional money and narrative markets</w:t>
      </w:r>
    </w:p>
    <w:p>
      <w:pPr>
        <w:pStyle w:val="Normal"/>
      </w:pPr>
      <w:r>
        <w:t xml:space="preserve">All markets contain expectations. Price represents an agreement between buyers and sellers at a moment in time, and that agreement incorporates liquidity, leverage, risk tolerance, narratives, regulation and macroeconomic conditions. Crypto markets amplify these forces because assets trade continuously, leverage is widely available, liquidity is fragmented and technological change is rapid.</w:t>
      </w:r>
    </w:p>
    <w:p>
      <w:pPr>
        <w:pStyle w:val="Normal"/>
      </w:pPr>
      <w:r>
        <w:t xml:space="preserve">The problem is not that market price is useless. The problem is that market price is frequently treated as a complete economic verdict. A strong narrative can increase valuation before measurable adoption exists. A liquidity contraction can depress valuation even when network activity remains healthy. Incentive programmes can temporarily inflate users, volume or total value locked. Token issuance can create nominal growth without real value capture.</w:t>
      </w:r>
    </w:p>
    <w:p>
      <w:pPr>
        <w:pStyle w:val="Normal"/>
      </w:pPr>
      <w:r>
        <w:t xml:space="preserve">Voxonomics does not attempt to eliminate markets or emotion. It creates an independent measurement layer so that market recognition can be compared with observable fundamentals rather than substituted for them.</w:t>
      </w:r>
    </w:p>
    <w:p>
      <w:pPr>
        <w:pStyle w:val="Heading2"/>
      </w:pPr>
      <w:r>
        <w:t xml:space="preserve">1.3 Networks as digital economies</w:t>
      </w:r>
    </w:p>
    <w:p>
      <w:pPr>
        <w:pStyle w:val="Normal"/>
      </w:pPr>
      <w:r>
        <w:t xml:space="preserve">A public blockchain can be analysed as a digital economy because it contains identifiable economic functions:</w:t>
      </w:r>
    </w:p>
    <w:p>
      <w:pPr>
        <w:pStyle w:val="ListParagraph"/>
      </w:pPr>
      <w:r>
        <w:t xml:space="preserve">• participants who transact, hold assets, govern, validate and develop;</w:t>
      </w:r>
    </w:p>
    <w:p>
      <w:pPr>
        <w:pStyle w:val="ListParagraph"/>
      </w:pPr>
      <w:r>
        <w:t xml:space="preserve">• productive infrastructure including consensus, execution, data availability and applications;</w:t>
      </w:r>
    </w:p>
    <w:p>
      <w:pPr>
        <w:pStyle w:val="ListParagraph"/>
      </w:pPr>
      <w:r>
        <w:t xml:space="preserve">• economic output expressed through settlement, fees, revenue and services;</w:t>
      </w:r>
    </w:p>
    <w:p>
      <w:pPr>
        <w:pStyle w:val="ListParagraph"/>
      </w:pPr>
      <w:r>
        <w:t xml:space="preserve">• capital markets expressed through exchanges, lending, derivatives and liquidity pools;</w:t>
      </w:r>
    </w:p>
    <w:p>
      <w:pPr>
        <w:pStyle w:val="ListParagraph"/>
      </w:pPr>
      <w:r>
        <w:t xml:space="preserve">• institutional rules encoded in protocol logic, governance and social coordination;</w:t>
      </w:r>
    </w:p>
    <w:p>
      <w:pPr>
        <w:pStyle w:val="ListParagraph"/>
      </w:pPr>
      <w:r>
        <w:t xml:space="preserve">• external trade through bridges, messaging systems, stablecoins and cross-chain flows;</w:t>
      </w:r>
    </w:p>
    <w:p>
      <w:pPr>
        <w:pStyle w:val="ListParagraph"/>
      </w:pPr>
      <w:r>
        <w:t xml:space="preserve">• public goods including security, open data, composability and shared infrastructure.</w:t>
      </w:r>
    </w:p>
    <w:p>
      <w:pPr>
        <w:pStyle w:val="Normal"/>
      </w:pPr>
      <w:r>
        <w:t xml:space="preserve">The analogy to a nation is useful but limited. A blockchain has no necessary territory, population citizenship or sovereign legal authority. Its participants may use multiple networks simultaneously. Nevertheless, the network performs enough economic functions to justify a dedicated measurement framework.</w:t>
      </w:r>
    </w:p>
    <w:p>
      <w:pPr>
        <w:pStyle w:val="Heading2"/>
      </w:pPr>
      <w:r>
        <w:t xml:space="preserve">1.4 Scope of the framework</w:t>
      </w:r>
    </w:p>
    <w:p>
      <w:pPr>
        <w:pStyle w:val="Normal"/>
      </w:pPr>
      <w:r>
        <w:t xml:space="preserve">Voxonomics measures public, observable blockchain networks and major execution environments. It is designed to cover:</w:t>
      </w:r>
    </w:p>
    <w:p>
      <w:pPr>
        <w:pStyle w:val="ListParagraph"/>
      </w:pPr>
      <w:r>
        <w:t xml:space="preserve">• proof-of-work and proof-of-stake base layers;</w:t>
      </w:r>
    </w:p>
    <w:p>
      <w:pPr>
        <w:pStyle w:val="ListParagraph"/>
      </w:pPr>
      <w:r>
        <w:t xml:space="preserve">• smart-contract platforms;</w:t>
      </w:r>
    </w:p>
    <w:p>
      <w:pPr>
        <w:pStyle w:val="ListParagraph"/>
      </w:pPr>
      <w:r>
        <w:t xml:space="preserve">• rollups and other layer-two systems;</w:t>
      </w:r>
    </w:p>
    <w:p>
      <w:pPr>
        <w:pStyle w:val="ListParagraph"/>
      </w:pPr>
      <w:r>
        <w:t xml:space="preserve">• application-specific chains;</w:t>
      </w:r>
    </w:p>
    <w:p>
      <w:pPr>
        <w:pStyle w:val="ListParagraph"/>
      </w:pPr>
      <w:r>
        <w:t xml:space="preserve">• modular execution, settlement and data-availability networks;</w:t>
      </w:r>
    </w:p>
    <w:p>
      <w:pPr>
        <w:pStyle w:val="ListParagraph"/>
      </w:pPr>
      <w:r>
        <w:t xml:space="preserve">• interoperable zones and subnetworks;</w:t>
      </w:r>
    </w:p>
    <w:p>
      <w:pPr>
        <w:pStyle w:val="ListParagraph"/>
      </w:pPr>
      <w:r>
        <w:t xml:space="preserve">• future architectures that expose sufficient public evidence.</w:t>
      </w:r>
    </w:p>
    <w:p>
      <w:pPr>
        <w:pStyle w:val="Normal"/>
      </w:pPr>
      <w:r>
        <w:t xml:space="preserve">The framework does not assume that every chain performs every function. A payments network, a settlement network and an application chain may have different economic profiles. The framework therefore measures capability and observed performance without requiring identical business models.</w:t>
      </w:r>
    </w:p>
    <w:p>
      <w:pPr>
        <w:pStyle w:val="Heading2"/>
      </w:pPr>
      <w:r>
        <w:t xml:space="preserve">1.5 What Voxonomics is not</w:t>
      </w:r>
    </w:p>
    <w:p>
      <w:pPr>
        <w:pStyle w:val="Normal"/>
      </w:pPr>
      <w:r>
        <w:t xml:space="preserve">Voxonomics is not:</w:t>
      </w:r>
    </w:p>
    <w:p>
      <w:pPr>
        <w:pStyle w:val="ListParagraph"/>
      </w:pPr>
      <w:r>
        <w:t xml:space="preserve">• a guaranteed valuation model;</w:t>
      </w:r>
    </w:p>
    <w:p>
      <w:pPr>
        <w:pStyle w:val="ListParagraph"/>
      </w:pPr>
      <w:r>
        <w:t xml:space="preserve">• a trading signal in isolation;</w:t>
      </w:r>
    </w:p>
    <w:p>
      <w:pPr>
        <w:pStyle w:val="ListParagraph"/>
      </w:pPr>
      <w:r>
        <w:t xml:space="preserve">• a credit rating issued by a central agency;</w:t>
      </w:r>
    </w:p>
    <w:p>
      <w:pPr>
        <w:pStyle w:val="ListParagraph"/>
      </w:pPr>
      <w:r>
        <w:t xml:space="preserve">• a claim that on-chain data is automatically complete or unbiased;</w:t>
      </w:r>
    </w:p>
    <w:p>
      <w:pPr>
        <w:pStyle w:val="ListParagraph"/>
      </w:pPr>
      <w:r>
        <w:t xml:space="preserve">• a stablecoin design;</w:t>
      </w:r>
    </w:p>
    <w:p>
      <w:pPr>
        <w:pStyle w:val="ListParagraph"/>
      </w:pPr>
      <w:r>
        <w:t xml:space="preserve">• a requirement that networks alter their consensus rules;</w:t>
      </w:r>
    </w:p>
    <w:p>
      <w:pPr>
        <w:pStyle w:val="ListParagraph"/>
      </w:pPr>
      <w:r>
        <w:t xml:space="preserve">• a permissioned membership club;</w:t>
      </w:r>
    </w:p>
    <w:p>
      <w:pPr>
        <w:pStyle w:val="ListParagraph"/>
      </w:pPr>
      <w:r>
        <w:t xml:space="preserve">• a replacement for technical security audits, legal analysis or investment due diligence.</w:t>
      </w:r>
    </w:p>
    <w:p>
      <w:pPr>
        <w:pStyle w:val="Normal"/>
      </w:pPr>
      <w:r>
        <w:t xml:space="preserve">It is a governed measurement standard. Its reliability depends on clear definitions, high-quality data, robust adapters, transparent normalisation and honest confidence reporting.</w:t>
      </w:r>
    </w:p>
    <w:p>
      <w:pPr>
        <w:pStyle w:val="Heading2"/>
      </w:pPr>
      <w:r>
        <w:t xml:space="preserve">1.6 Economic value and monetary price</w:t>
      </w:r>
    </w:p>
    <w:p>
      <w:pPr>
        <w:pStyle w:val="Normal"/>
      </w:pPr>
      <w:r>
        <w:t xml:space="preserve">Monetary price records the amount of a specified monetary unit exchanged, or quoted, for a specified asset or service at a stated time. It is observable market information, shaped by the transaction’s scope and conditions. A marginal trade price does not establish the proceeds obtainable from selling an entire stock. Nor does it identify every contribution an economic system makes to its users.</w:t>
      </w:r>
    </w:p>
    <w:p>
      <w:pPr>
        <w:pStyle w:val="Normal"/>
      </w:pPr>
      <w:r>
        <w:t xml:space="preserve">Underlying economic value is not treated here as a directly observable universal scalar waiting to be discovered. In Voxonomics, the practical question is which economic functions, capabilities and outcomes can be measured under declared definitions. Usefulness, productive capacity, sustainable service provision and economic performance need evidence and interpretation. A market valuation can incorporate information and expectations beyond those observations; the model can also omit important factors.</w:t>
      </w:r>
    </w:p>
    <w:p>
      <w:pPr>
        <w:pStyle w:val="Normal"/>
      </w:pPr>
      <w:r>
        <w:t xml:space="preserve">The thesis is therefore a measurement proposition, not a proof that markets are wrong or that Voxonomics knows a uniquely correct price. Price and measured fundamentals answer different questions. Market recognition means the valuation expressed by the market relative to the framework’s measured fundamentals; the existing VRI and Opportunity Gap definitions continue to govern that comparison. A divergence does not establish mispricing, an executable profit, or an obligation for price to converge.</w:t>
      </w:r>
    </w:p>
    <w:p>
      <w:pPr>
        <w:pStyle w:val="Normal"/>
      </w:pPr>
      <w:r>
        <w:t xml:space="preserve">The inherited term “intrinsic network economic performance” refers to performance under the declared Voxonomics model. It does not mean an absolute, monetary or observer-free true value. Independence from a headline token-price verdict also does not mean that every input is free of prices: where an existing metric requires monetary valuation of activity, its prescribed units, event-time inputs, provenance and exclusions remain unchanged. This edition neither adds inflation adjustment nor removes existing price-dependent inputs.</w:t>
      </w:r>
    </w:p>
    <w:p>
      <w:pPr>
        <w:pStyle w:val="Heading2"/>
      </w:pPr>
      <w:r>
        <w:t xml:space="preserve">1.7 Money currency credit debt and wealth</w:t>
      </w:r>
    </w:p>
    <w:p>
      <w:pPr>
        <w:pStyle w:val="Normal"/>
      </w:pPr>
      <w:r>
        <w:t xml:space="preserve">Money performs monetary functions: a means of exchange, a unit for stating accounts and prices, and a means of holding purchasing capacity through time. These functions do not guarantee stable purchasing power. “Currency” can mean a named monetary denomination, such as sterling, or more narrowly notes and coins. This discussion uses “monetary unit” for the denomination and “cash” for notes and coins; bank deposits must not be silently excluded from money. [M2]</w:t>
      </w:r>
    </w:p>
    <w:p>
      <w:pPr>
        <w:pStyle w:val="Normal"/>
      </w:pPr>
      <w:r>
        <w:t xml:space="preserve">Credit is financing supplied on terms that create a claim and a corresponding obligation. Debt is the outstanding obligation to repay or otherwise settle amounts under those terms. In modern banking, a new bank loan can create a matching deposit and a loan liability; repayment reverses the corresponding money creation. The Bank of England explains why this is neither simply lending pre-existing deposits nor unlimited money creation: lending faces commercial, regulatory and monetary constraints. Creating a deposit is not, by itself, evidence that new real resources or equivalent net wealth have been created. [M1]</w:t>
      </w:r>
    </w:p>
    <w:p>
      <w:pPr>
        <w:pStyle w:val="Normal"/>
      </w:pPr>
      <w:r>
        <w:t xml:space="preserve">Wealth is a stock of assets or claims at a specified date and valuation basis. Net wealth, or net worth, deducts liabilities. It is distinct from income or output over a period and from holdings of money alone. A higher asset valuation can increase recorded wealth without an equal increase in productive capacity or cash available to spend. The balance-sheet distinction between assets, liabilities and net worth is illustrated in IMF public-wealth analysis. [M6]</w:t>
      </w:r>
    </w:p>
    <w:p>
      <w:pPr>
        <w:pStyle w:val="Normal"/>
      </w:pPr>
      <w:r>
        <w:t xml:space="preserve">These distinctions prevent category errors: a payment is not necessarily production, a loan is not income merely because funds arrive, and a change in a token’s capitalisation is not a measurement of new economic output. Existing canonical exclusions and accounting boundaries determine what Voxonomics counts; this discussion creates no new metric or exception.</w:t>
      </w:r>
    </w:p>
    <w:p>
      <w:pPr>
        <w:pStyle w:val="Heading2"/>
      </w:pPr>
      <w:r>
        <w:t xml:space="preserve">1.8 Purchasing power nominal change and real change</w:t>
      </w:r>
    </w:p>
    <w:p>
      <w:pPr>
        <w:pStyle w:val="Normal"/>
      </w:pPr>
      <w:r>
        <w:t xml:space="preserve">Purchasing power is what a monetary amount can buy relative to specified goods and services at a stated place and time. Inflation changes that relationship. A person’s purchasing power also depends on changes in their nominal resources; it does not follow from inflation alone that every person’s real income falls. Consumer baskets, production-price measures and asset prices have different coverage. Inflation can reflect demand, supply and expectations as well as monetary conditions, and prices do not all adjust together. [M3]</w:t>
      </w:r>
    </w:p>
    <w:p>
      <w:pPr>
        <w:pStyle w:val="Normal"/>
      </w:pPr>
      <w:r>
        <w:t xml:space="preserve">Nominal change is change measured in current monetary units. Real change removes the effect of specified price changes using an appropriate price or volume measure. ONS national-accounts methods distinguish current-price estimates from chained volume measures precisely for this reason. An exchange-rate conversion alone is not an inflation adjustment, and a consumer-price index is not automatically the right deflator for every asset, output or blockchain activity. [M4]</w:t>
      </w:r>
    </w:p>
    <w:p>
      <w:pPr>
        <w:pStyle w:val="Normal"/>
      </w:pPr>
      <w:r>
        <w:t xml:space="preserve">For illustration only, if a nominal amount rises from 100 to 110 while the relevant price index rises from 100 to 110, the amount buys the same reference basket. That example is arithmetic, not a Voxonomics formula or a proposed universal deflator. A reported rise in monetary activity cannot by itself establish an equal rise in real output, usefulness or network economic performance.</w:t>
      </w:r>
    </w:p>
    <w:p>
      <w:pPr>
        <w:pStyle w:val="Normal"/>
      </w:pPr>
      <w:r>
        <w:t xml:space="preserve">Credit and liquidity conditions are a separate influence from the purchasing power of the monetary unit. BIS distinguishes the ease of obtaining funding from the ease of selling assets, and describes interactions among financing conditions, leverage and asset prices. These relationships do not imply that every price move is caused by monetary expansion or that liquidity can be measured by one number. [M5]</w:t>
      </w:r>
    </w:p>
    <w:p>
      <w:pPr>
        <w:pStyle w:val="Normal"/>
      </w:pPr>
      <w:r>
        <w:t xml:space="preserve">The implication for this thesis is to disclose units, time, scope and uncertainty when interpreting monetary observations. The ERU remains the existing governed reference benchmark; it is not a consumer basket, a fiat currency, an inflation hedge or a purchasing-power guarantee. VTS normalisation is not a conversion into inflation-adjusted GDP. No new nominal-to-real transformation is introduced into the Edition 3.2 methodology.</w:t>
      </w:r>
    </w:p>
    <w:p>
      <w:pPr>
        <w:pStyle w:val="Heading2"/>
      </w:pPr>
      <w:r>
        <w:t xml:space="preserve">1.9 Blockchain as the first proving ground</w:t>
      </w:r>
    </w:p>
    <w:p>
      <w:pPr>
        <w:pStyle w:val="Normal"/>
      </w:pPr>
      <w:r>
        <w:t xml:space="preserve">Public blockchain networks are the first proving ground because their records can be public, timestamped, machine-readable and reproducible against identifiable source coordinates. Those properties make it possible to test an evidence-based measurement approach against shared records rather than relying only on private assertions. This is the project’s rationale for its initial domain, not a claim that every chain exposes complete or permanently retrievable evidence.</w:t>
      </w:r>
    </w:p>
    <w:p>
      <w:pPr>
        <w:pStyle w:val="Normal"/>
      </w:pPr>
      <w:r>
        <w:t xml:space="preserve">A ledger records state transitions under protocol rules. It does not automatically establish economic purpose, unique human users, beneficial ownership, legal enforceability or the quality of an off-chain claim. Timestamps, finality and record availability depend on the network and source. Reproduction requires retained evidence, the same scope and the versioned calculation path. The inherited collector, preservation, certification and confidence rules remain the means of handling those limitations.</w:t>
      </w:r>
    </w:p>
    <w:p>
      <w:pPr>
        <w:pStyle w:val="Normal"/>
      </w:pPr>
      <w:r>
        <w:t xml:space="preserve">The first proving ground is also a test of the model itself. Public evidence can support or challenge a calculation and its interpretation. It cannot certify a methodology merely because the data is on-chain, and it does not make a research output an official published score. Existing publication gates remain binding.</w:t>
      </w:r>
    </w:p>
    <w:p>
      <w:pPr>
        <w:pStyle w:val="Heading2"/>
      </w:pPr>
      <w:r>
        <w:t xml:space="preserve">1.10 Scope of longer term value intelligence</w:t>
      </w:r>
    </w:p>
    <w:p>
      <w:pPr>
        <w:pStyle w:val="Normal"/>
      </w:pPr>
      <w:r>
        <w:t xml:space="preserve">Voxonomics aims to provide an independent evidence-based economic measurement layer. It is not intended to replace fiat money, decide monetary policy, forecast token prices or claim perfect economic truth. Its usefulness must be established through defensible definitions, reproducible evidence, explicit uncertainty and independent scrutiny.</w:t>
      </w:r>
    </w:p>
    <w:p>
      <w:pPr>
        <w:pStyle w:val="Normal"/>
      </w:pPr>
      <w:r>
        <w:t xml:space="preserve">The long-term ambition is broader evidence-based value intelligence. Applying the evidence discipline to companies, property, other assets or wider economic domains would require each domain’s own canonical definitions, accounting boundaries, units, evidence standards, calibration, governance and validation. No such framework is specified or certified by this edition.</w:t>
      </w:r>
    </w:p>
    <w:p>
      <w:pPr>
        <w:pStyle w:val="Normal"/>
      </w:pPr>
      <w:r>
        <w:t xml:space="preserve">VTS remains the blockchain-economic measurement system defined in the inherited specification. “Universal” and “chain-agnostic” describe consistency across eligible blockchain architectures, not a claim that the same six-index model values every economic object. The wider ambition does not permit new parents, extra submetrics, altered weights, substituted benchmarks or cross-domain aggregation inside VTS.</w:t>
      </w:r>
    </w:p>
    <w:p>
      <w:pPr>
        <w:pStyle w:val="Normal"/>
      </w:pPr>
      <w:r>
        <w:t xml:space="preserve">The optional VOX and V-FOREX concepts retained in the inherited specification remain subject to their existing activation conditions. Explaining the monetary context neither activates those proposals nor makes them substitutes for sovereign money. Edition 3.3 is the current canonical publication; any later change requires explicit approval and publication.</w:t>
      </w:r>
    </w:p>
    <w:p>
      <w:pPr>
        <w:pStyle w:val="Heading1"/>
        <w:pageBreakBefore/>
      </w:pPr>
      <w:r>
        <w:t xml:space="preserve">2. The Digital Value Problem</w:t>
      </w:r>
    </w:p>
    <w:p>
      <w:pPr>
        <w:pStyle w:val="Heading2"/>
      </w:pPr>
      <w:r>
        <w:t xml:space="preserve">2.1 Market capitalisation is recognition, not intrinsic measurement</w:t>
      </w:r>
    </w:p>
    <w:p>
      <w:pPr>
        <w:pStyle w:val="Normal"/>
      </w:pPr>
      <w:r>
        <w:t xml:space="preserve">Market capitalisation is the product of circulating token supply and market price. It shows the market value of the liquid asset under a particular supply definition. It does not by itself measure network revenue, user participation, decentralisation, settlement quality, resilience or value capture.</w:t>
      </w:r>
    </w:p>
    <w:p>
      <w:pPr>
        <w:pStyle w:val="Normal"/>
      </w:pPr>
      <w:r>
        <w:t xml:space="preserve">Circulating supply can also be difficult to define. Locked allocations, foundations, treasuries, bridges, staking contracts and protocol-owned balances may be treated differently across providers. Thin liquidity can produce a large nominal valuation from a relatively small amount of traded capital. Fully diluted valuation can reveal future dilution but does not measure whether the future supply will create or dilute economic value.</w:t>
      </w:r>
    </w:p>
    <w:p>
      <w:pPr>
        <w:pStyle w:val="Normal"/>
      </w:pPr>
      <w:r>
        <w:t xml:space="preserve">Voxonomics therefore treats market value as an input to VRI rather than VTS.</w:t>
      </w:r>
    </w:p>
    <w:p>
      <w:pPr>
        <w:pStyle w:val="Heading2"/>
      </w:pPr>
      <w:r>
        <w:t xml:space="preserve">2.2 Single metrics produce false certainty</w:t>
      </w:r>
    </w:p>
    <w:p>
      <w:pPr>
        <w:pStyle w:val="Normal"/>
      </w:pPr>
      <w:r>
        <w:t xml:space="preserve">Every common blockchain metric has strengths and limitations:</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Metric</w:t>
            </w:r>
          </w:p>
        </w:tc>
        <w:tc>
          <w:tcPr>
            <w:tcW w:w="3033" w:type="dxa"/>
          </w:tcPr>
          <w:p>
            <w:pPr>
              <w:pStyle w:val="TableHeader"/>
            </w:pPr>
            <w:r>
              <w:t xml:space="preserve">What it reveals</w:t>
            </w:r>
          </w:p>
        </w:tc>
        <w:tc>
          <w:tcPr>
            <w:tcW w:w="3033" w:type="dxa"/>
          </w:tcPr>
          <w:p>
            <w:pPr>
              <w:pStyle w:val="TableHeader"/>
            </w:pPr>
            <w:r>
              <w:t xml:space="preserve">What it can miss</w:t>
            </w:r>
          </w:p>
        </w:tc>
      </w:tr>
      <w:tr>
        <w:trPr>
          <w:cantSplit/>
        </w:trPr>
        <w:tc>
          <w:tcPr>
            <w:tcW w:w="3033" w:type="dxa"/>
          </w:tcPr>
          <w:p>
            <w:pPr>
              <w:pStyle w:val="TableText"/>
            </w:pPr>
            <w:r>
              <w:t xml:space="preserve">Transaction count</w:t>
            </w:r>
          </w:p>
        </w:tc>
        <w:tc>
          <w:tcPr>
            <w:tcW w:w="3033" w:type="dxa"/>
          </w:tcPr>
          <w:p>
            <w:pPr>
              <w:pStyle w:val="TableText"/>
            </w:pPr>
            <w:r>
              <w:t xml:space="preserve">Frequency of recorded actions</w:t>
            </w:r>
          </w:p>
        </w:tc>
        <w:tc>
          <w:tcPr>
            <w:tcW w:w="3033" w:type="dxa"/>
          </w:tcPr>
          <w:p>
            <w:pPr>
              <w:pStyle w:val="TableText"/>
            </w:pPr>
            <w:r>
              <w:t xml:space="preserve">Spam, batching, low-value transfers, architecture differences</w:t>
            </w:r>
          </w:p>
        </w:tc>
      </w:tr>
      <w:tr>
        <w:trPr>
          <w:cantSplit/>
        </w:trPr>
        <w:tc>
          <w:tcPr>
            <w:tcW w:w="3033" w:type="dxa"/>
          </w:tcPr>
          <w:p>
            <w:pPr>
              <w:pStyle w:val="TableText"/>
            </w:pPr>
            <w:r>
              <w:t xml:space="preserve">Active addresses</w:t>
            </w:r>
          </w:p>
        </w:tc>
        <w:tc>
          <w:tcPr>
            <w:tcW w:w="3033" w:type="dxa"/>
          </w:tcPr>
          <w:p>
            <w:pPr>
              <w:pStyle w:val="TableText"/>
            </w:pPr>
            <w:r>
              <w:t xml:space="preserve">Observable account activity</w:t>
            </w:r>
          </w:p>
        </w:tc>
        <w:tc>
          <w:tcPr>
            <w:tcW w:w="3033" w:type="dxa"/>
          </w:tcPr>
          <w:p>
            <w:pPr>
              <w:pStyle w:val="TableText"/>
            </w:pPr>
            <w:r>
              <w:t xml:space="preserve">Sybil activity, account abstraction, shared addresses, bots</w:t>
            </w:r>
          </w:p>
        </w:tc>
      </w:tr>
      <w:tr>
        <w:trPr>
          <w:cantSplit/>
        </w:trPr>
        <w:tc>
          <w:tcPr>
            <w:tcW w:w="3033" w:type="dxa"/>
          </w:tcPr>
          <w:p>
            <w:pPr>
              <w:pStyle w:val="TableText"/>
            </w:pPr>
            <w:r>
              <w:t xml:space="preserve">Fees</w:t>
            </w:r>
          </w:p>
        </w:tc>
        <w:tc>
          <w:tcPr>
            <w:tcW w:w="3033" w:type="dxa"/>
          </w:tcPr>
          <w:p>
            <w:pPr>
              <w:pStyle w:val="TableText"/>
            </w:pPr>
            <w:r>
              <w:t xml:space="preserve">Demand for blockspace or services</w:t>
            </w:r>
          </w:p>
        </w:tc>
        <w:tc>
          <w:tcPr>
            <w:tcW w:w="3033" w:type="dxa"/>
          </w:tcPr>
          <w:p>
            <w:pPr>
              <w:pStyle w:val="TableText"/>
            </w:pPr>
            <w:r>
              <w:t xml:space="preserve">Subsidies, fee design, congestion, extraction outside the token</w:t>
            </w:r>
          </w:p>
        </w:tc>
      </w:tr>
      <w:tr>
        <w:trPr>
          <w:cantSplit/>
        </w:trPr>
        <w:tc>
          <w:tcPr>
            <w:tcW w:w="3033" w:type="dxa"/>
          </w:tcPr>
          <w:p>
            <w:pPr>
              <w:pStyle w:val="TableText"/>
            </w:pPr>
            <w:r>
              <w:t xml:space="preserve">Revenue</w:t>
            </w:r>
          </w:p>
        </w:tc>
        <w:tc>
          <w:tcPr>
            <w:tcW w:w="3033" w:type="dxa"/>
          </w:tcPr>
          <w:p>
            <w:pPr>
              <w:pStyle w:val="TableText"/>
            </w:pPr>
            <w:r>
              <w:t xml:space="preserve">Protocol value retained</w:t>
            </w:r>
          </w:p>
        </w:tc>
        <w:tc>
          <w:tcPr>
            <w:tcW w:w="3033" w:type="dxa"/>
          </w:tcPr>
          <w:p>
            <w:pPr>
              <w:pStyle w:val="TableText"/>
            </w:pPr>
            <w:r>
              <w:t xml:space="preserve">Cyclicality, token incentives, accounting differences</w:t>
            </w:r>
          </w:p>
        </w:tc>
      </w:tr>
      <w:tr>
        <w:trPr>
          <w:cantSplit/>
        </w:trPr>
        <w:tc>
          <w:tcPr>
            <w:tcW w:w="3033" w:type="dxa"/>
          </w:tcPr>
          <w:p>
            <w:pPr>
              <w:pStyle w:val="TableText"/>
            </w:pPr>
            <w:r>
              <w:t xml:space="preserve">TVL</w:t>
            </w:r>
          </w:p>
        </w:tc>
        <w:tc>
          <w:tcPr>
            <w:tcW w:w="3033" w:type="dxa"/>
          </w:tcPr>
          <w:p>
            <w:pPr>
              <w:pStyle w:val="TableText"/>
            </w:pPr>
            <w:r>
              <w:t xml:space="preserve">Capital committed to applications</w:t>
            </w:r>
          </w:p>
        </w:tc>
        <w:tc>
          <w:tcPr>
            <w:tcW w:w="3033" w:type="dxa"/>
          </w:tcPr>
          <w:p>
            <w:pPr>
              <w:pStyle w:val="TableText"/>
            </w:pPr>
            <w:r>
              <w:t xml:space="preserve">Double counting, borrowed assets, price effects, bridge risk</w:t>
            </w:r>
          </w:p>
        </w:tc>
      </w:tr>
      <w:tr>
        <w:trPr>
          <w:cantSplit/>
        </w:trPr>
        <w:tc>
          <w:tcPr>
            <w:tcW w:w="3033" w:type="dxa"/>
          </w:tcPr>
          <w:p>
            <w:pPr>
              <w:pStyle w:val="TableText"/>
            </w:pPr>
            <w:r>
              <w:t xml:space="preserve">DEX volume</w:t>
            </w:r>
          </w:p>
        </w:tc>
        <w:tc>
          <w:tcPr>
            <w:tcW w:w="3033" w:type="dxa"/>
          </w:tcPr>
          <w:p>
            <w:pPr>
              <w:pStyle w:val="TableText"/>
            </w:pPr>
            <w:r>
              <w:t xml:space="preserve">Trading activity</w:t>
            </w:r>
          </w:p>
        </w:tc>
        <w:tc>
          <w:tcPr>
            <w:tcW w:w="3033" w:type="dxa"/>
          </w:tcPr>
          <w:p>
            <w:pPr>
              <w:pStyle w:val="TableText"/>
            </w:pPr>
            <w:r>
              <w:t xml:space="preserve">Wash trading, incentive farming, concentration and slippage</w:t>
            </w:r>
          </w:p>
        </w:tc>
      </w:tr>
      <w:tr>
        <w:trPr>
          <w:cantSplit/>
        </w:trPr>
        <w:tc>
          <w:tcPr>
            <w:tcW w:w="3033" w:type="dxa"/>
          </w:tcPr>
          <w:p>
            <w:pPr>
              <w:pStyle w:val="TableText"/>
            </w:pPr>
            <w:r>
              <w:t xml:space="preserve">Validator count</w:t>
            </w:r>
          </w:p>
        </w:tc>
        <w:tc>
          <w:tcPr>
            <w:tcW w:w="3033" w:type="dxa"/>
          </w:tcPr>
          <w:p>
            <w:pPr>
              <w:pStyle w:val="TableText"/>
            </w:pPr>
            <w:r>
              <w:t xml:space="preserve">Number of validator identities</w:t>
            </w:r>
          </w:p>
        </w:tc>
        <w:tc>
          <w:tcPr>
            <w:tcW w:w="3033" w:type="dxa"/>
          </w:tcPr>
          <w:p>
            <w:pPr>
              <w:pStyle w:val="TableText"/>
            </w:pPr>
            <w:r>
              <w:t xml:space="preserve">Stake concentration, common ownership, hosting concentration</w:t>
            </w:r>
          </w:p>
        </w:tc>
      </w:tr>
      <w:tr>
        <w:trPr>
          <w:cantSplit/>
        </w:trPr>
        <w:tc>
          <w:tcPr>
            <w:tcW w:w="3033" w:type="dxa"/>
          </w:tcPr>
          <w:p>
            <w:pPr>
              <w:pStyle w:val="TableText"/>
            </w:pPr>
            <w:r>
              <w:t xml:space="preserve">Token price</w:t>
            </w:r>
          </w:p>
        </w:tc>
        <w:tc>
          <w:tcPr>
            <w:tcW w:w="3033" w:type="dxa"/>
          </w:tcPr>
          <w:p>
            <w:pPr>
              <w:pStyle w:val="TableText"/>
            </w:pPr>
            <w:r>
              <w:t xml:space="preserve">Market recognition</w:t>
            </w:r>
          </w:p>
        </w:tc>
        <w:tc>
          <w:tcPr>
            <w:tcW w:w="3033" w:type="dxa"/>
          </w:tcPr>
          <w:p>
            <w:pPr>
              <w:pStyle w:val="TableText"/>
            </w:pPr>
            <w:r>
              <w:t xml:space="preserve">Fundamentals, liquidity depth, dilution and reflexivity</w:t>
            </w:r>
          </w:p>
        </w:tc>
      </w:tr>
    </w:tbl>
    <w:p>
      <w:pPr>
        <w:pStyle w:val="Normal"/>
      </w:pPr>
      <w:r>
        <w:t xml:space="preserve">A credible model must combine multiple dimensions and publish the evidence behind each one.</w:t>
      </w:r>
    </w:p>
    <w:p>
      <w:pPr>
        <w:pStyle w:val="Heading2"/>
      </w:pPr>
      <w:r>
        <w:t xml:space="preserve">2.3 Value creation, value capture and value recognition</w:t>
      </w:r>
    </w:p>
    <w:p>
      <w:pPr>
        <w:pStyle w:val="Normal"/>
      </w:pPr>
      <w:r>
        <w:t xml:space="preserve">Voxonomics distinguishes three economic concepts:</w:t>
      </w:r>
    </w:p>
    <w:p>
      <w:pPr>
        <w:pStyle w:val="ListParagraph"/>
      </w:pPr>
      <w:r>
        <w:t xml:space="preserve">• Value creation — the network enables useful settlement, computation, liquidity, coordination or real-world activity.</w:t>
      </w:r>
    </w:p>
    <w:p>
      <w:pPr>
        <w:pStyle w:val="ListParagraph"/>
      </w:pPr>
      <w:r>
        <w:t xml:space="preserve">• Value capture — fees, burns, treasury income, staking economics or other mechanisms retain part of that activity for the protocol or its economic security.</w:t>
      </w:r>
    </w:p>
    <w:p>
      <w:pPr>
        <w:pStyle w:val="ListParagraph"/>
      </w:pPr>
      <w:r>
        <w:t xml:space="preserve">• Value recognition — markets assign a valuation to the network asset.</w:t>
      </w:r>
    </w:p>
    <w:p>
      <w:pPr>
        <w:pStyle w:val="Normal"/>
      </w:pPr>
      <w:r>
        <w:t xml:space="preserve">These concepts are related but not identical. A network may create substantial user value while capturing little revenue. A protocol may capture revenue while remaining centralised or fragile. A token may receive high recognition because of expected future growth. Voxonomics prevents these distinctions from disappearing inside one headline metric.</w:t>
      </w:r>
    </w:p>
    <w:p>
      <w:pPr>
        <w:pStyle w:val="Heading2"/>
      </w:pPr>
      <w:r>
        <w:t xml:space="preserve">2.4 The comparability challenge</w:t>
      </w:r>
    </w:p>
    <w:p>
      <w:pPr>
        <w:pStyle w:val="Normal"/>
      </w:pPr>
      <w:r>
        <w:t xml:space="preserve">Raw comparisons favour scale and architecture. A high-throughput network may record many inexpensive transactions, while a settlement-oriented network may process fewer but larger and more economically final transfers. A rollup may inherit security from a base layer but retain separate sequencer and bridge risks. A proof-of-work chain does not expose a staked-supply ratio. A privacy-preserving system may deliberately reveal less user-level information.</w:t>
      </w:r>
    </w:p>
    <w:p>
      <w:pPr>
        <w:pStyle w:val="Normal"/>
      </w:pPr>
      <w:r>
        <w:t xml:space="preserve">The solution is not to force the same raw field onto every system. It is to define the universal economic property first, then specify how each architecture provides evidence for that property.</w:t>
      </w:r>
    </w:p>
    <w:p>
      <w:pPr>
        <w:pStyle w:val="Heading2"/>
      </w:pPr>
      <w:r>
        <w:t xml:space="preserve">2.5 The confidence problem</w:t>
      </w:r>
    </w:p>
    <w:p>
      <w:pPr>
        <w:pStyle w:val="Normal"/>
      </w:pPr>
      <w:r>
        <w:t xml:space="preserve">Many rankings publish a score without publishing whether the underlying evidence is complete. This creates false precision. A network with incomplete governance data should not receive the same apparent certainty as a network with verified historical records, multiple independent sources and a tested adapter.</w:t>
      </w:r>
    </w:p>
    <w:p>
      <w:pPr>
        <w:pStyle w:val="Normal"/>
      </w:pPr>
      <w:r>
        <w:t xml:space="preserve">Voxonomics solves this through VCS. Every headline result must be accompanied by a confidence score and publication status. Missing evidence affects confidence and, where the missing function is economically material, the relevant index. It is never silently replaced with an arbitrary neutral value.</w:t>
      </w:r>
    </w:p>
    <w:p>
      <w:pPr>
        <w:pStyle w:val="Heading1"/>
        <w:pageBreakBefore/>
      </w:pPr>
      <w:r>
        <w:t xml:space="preserve">3. Networks as Measurable Economies</w:t>
      </w:r>
    </w:p>
    <w:p>
      <w:pPr>
        <w:pStyle w:val="Heading2"/>
      </w:pPr>
      <w:r>
        <w:t xml:space="preserve">3.1 Economic output</w:t>
      </w:r>
    </w:p>
    <w:p>
      <w:pPr>
        <w:pStyle w:val="Normal"/>
      </w:pPr>
      <w:r>
        <w:t xml:space="preserve">A blockchain economy produces output when it enables settlement, execution, data services, financial intermediation, asset issuance or other verifiable functions. Output cannot be represented by transaction count alone. Voxonomics therefore combines transfer value, fees, revenue, service use, value capture and persistence.</w:t>
      </w:r>
    </w:p>
    <w:p>
      <w:pPr>
        <w:pStyle w:val="Normal"/>
      </w:pPr>
      <w:r>
        <w:t xml:space="preserve">Economic output is strongest when activity is repeated, broad-based, difficult to fabricate and connected to a sustainable security budget. Temporary incentive farming may still be observed, but its quality is discounted through retention, concentration, subsidy and resilience metrics.</w:t>
      </w:r>
    </w:p>
    <w:p>
      <w:pPr>
        <w:pStyle w:val="Heading2"/>
      </w:pPr>
      <w:r>
        <w:t xml:space="preserve">3.2 Participation and productive capacity</w:t>
      </w:r>
    </w:p>
    <w:p>
      <w:pPr>
        <w:pStyle w:val="Normal"/>
      </w:pPr>
      <w:r>
        <w:t xml:space="preserve">Networks require more than passive holders. Users generate demand, validators or miners secure state, developers maintain software, delegates and voters govern shared resources, and liquidity providers support exchange. Participation is economically meaningful when it is active, distributed and persistent.</w:t>
      </w:r>
    </w:p>
    <w:p>
      <w:pPr>
        <w:pStyle w:val="Normal"/>
      </w:pPr>
      <w:r>
        <w:t xml:space="preserve">OPI measures this productive social layer without assuming that one governance or consensus model is universally superior.</w:t>
      </w:r>
    </w:p>
    <w:p>
      <w:pPr>
        <w:pStyle w:val="Heading2"/>
      </w:pPr>
      <w:r>
        <w:t xml:space="preserve">3.3 Financial depth</w:t>
      </w:r>
    </w:p>
    <w:p>
      <w:pPr>
        <w:pStyle w:val="Normal"/>
      </w:pPr>
      <w:r>
        <w:t xml:space="preserve">Liquidity converts nominal value into usable value. A token or application may report high valuation, but if meaningful trades cause severe price impact, capital cannot enter or leave efficiently. DLI therefore measures depth, slippage, concentration, volume quality, venue diversity and stress performance rather than relying on total value locked alone.</w:t>
      </w:r>
    </w:p>
    <w:p>
      <w:pPr>
        <w:pStyle w:val="Heading2"/>
      </w:pPr>
      <w:r>
        <w:t xml:space="preserve">3.4 Institutional integrity</w:t>
      </w:r>
    </w:p>
    <w:p>
      <w:pPr>
        <w:pStyle w:val="Normal"/>
      </w:pPr>
      <w:r>
        <w:t xml:space="preserve">A network cannot function as an economy if its settlement fails, critical software is repeatedly exploited, control is highly concentrated or operators cannot recover from incidents. PII measures the current quality of protocol security, decentralisation, availability and operational controls. ERI separately measures the system’s ability to withstand and recover from stress over time.</w:t>
      </w:r>
    </w:p>
    <w:p>
      <w:pPr>
        <w:pStyle w:val="Heading2"/>
      </w:pPr>
      <w:r>
        <w:t xml:space="preserve">3.5 Real-world connection</w:t>
      </w:r>
    </w:p>
    <w:p>
      <w:pPr>
        <w:pStyle w:val="Normal"/>
      </w:pPr>
      <w:r>
        <w:t xml:space="preserve">The digital economy is strongest when it supports activity beyond internal token rotation. Stablecoin settlement, payments, tokenised financial instruments, enterprise usage and verifiable off-chain claims can connect networks to the wider economy. RWAI measures this connection while explicitly accounting for issuer, custody, oracle and legal dependencies.</w:t>
      </w:r>
    </w:p>
    <w:p>
      <w:pPr>
        <w:pStyle w:val="Heading2"/>
      </w:pPr>
      <w:r>
        <w:t xml:space="preserve">3.6 Economic resilience</w:t>
      </w:r>
    </w:p>
    <w:p>
      <w:pPr>
        <w:pStyle w:val="Normal"/>
      </w:pPr>
      <w:r>
        <w:t xml:space="preserve">Growth measured only in favourable conditions is incomplete. Networks experience bear markets, congestion, exploits, validator exits, liquidity shocks, regulatory changes and infrastructure failures. ERI measures retention, redundancy, recovery and sustainable security capacity across stress periods.</w:t>
      </w:r>
    </w:p>
    <w:p>
      <w:pPr>
        <w:pStyle w:val="Heading1"/>
        <w:pageBreakBefore/>
      </w:pPr>
      <w:r>
        <w:t xml:space="preserve">4. Constitutional Principles</w:t>
      </w:r>
    </w:p>
    <w:p>
      <w:pPr>
        <w:pStyle w:val="Normal"/>
      </w:pPr>
      <w:r>
        <w:t xml:space="preserve">The Voxonomics constitution defines the rules that every implementation must preserve. These rules are higher-level constraints on governance, software and economic design.</w:t>
      </w:r>
    </w:p>
    <w:p>
      <w:pPr>
        <w:pStyle w:val="Heading2"/>
      </w:pPr>
      <w:r>
        <w:t xml:space="preserve">4.1 Universality</w:t>
      </w:r>
    </w:p>
    <w:p>
      <w:pPr>
        <w:pStyle w:val="Normal"/>
      </w:pPr>
      <w:r>
        <w:t xml:space="preserve">The same six parent indices, equal parent weights, publication rules and reference-unit methodology apply to every network. No network receives a private formula, favourable benchmark or selective exclusion of weak dimensions.</w:t>
      </w:r>
    </w:p>
    <w:p>
      <w:pPr>
        <w:pStyle w:val="Heading2"/>
      </w:pPr>
      <w:r>
        <w:t xml:space="preserve">4.2 Chain agnosticism</w:t>
      </w:r>
    </w:p>
    <w:p>
      <w:pPr>
        <w:pStyle w:val="Normal"/>
      </w:pPr>
      <w:r>
        <w:t xml:space="preserve">The standard is independent of a specific blockchain, virtual machine, consensus model or data provider. Chain-specific adapters are permitted only to translate architecture-specific evidence into universal definitions.</w:t>
      </w:r>
    </w:p>
    <w:p>
      <w:pPr>
        <w:pStyle w:val="Heading2"/>
      </w:pPr>
      <w:r>
        <w:t xml:space="preserve">4.3 Equal weighting</w:t>
      </w:r>
    </w:p>
    <w:p>
      <w:pPr>
        <w:pStyle w:val="Normal"/>
      </w:pPr>
      <w:r>
        <w:t xml:space="preserve">PoV, OPI, DLI, PII, RWAI and ERI each receive exactly one-sixth of the core VTS. This constraint prevents governance from turning the framework into a narrative-weighted model. Submetric weights inside each index may be calibrated through evidence and governance, but the six parent indices remain equal in Edition 3.1.</w:t>
      </w:r>
    </w:p>
    <w:p>
      <w:pPr>
        <w:pStyle w:val="Normal"/>
      </w:pPr>
      <w:r>
        <w:t xml:space="preserve">Edition 3.2 carries this parent-weighting rule forward without modification: PoV, OPI, DLI, PII, RWAI and ERI each continue to receive exactly one-sixth of core VTS.</w:t>
      </w:r>
    </w:p>
    <w:p>
      <w:pPr>
        <w:pStyle w:val="Heading2"/>
      </w:pPr>
      <w:r>
        <w:t xml:space="preserve">4.4 Verifiability</w:t>
      </w:r>
    </w:p>
    <w:p>
      <w:pPr>
        <w:pStyle w:val="Normal"/>
      </w:pPr>
      <w:r>
        <w:t xml:space="preserve">Every published value must be traceable to source observations, transformation logic, adapter version, benchmark version and calculation timestamp. A result that cannot be independently reproduced is not an official Voxonomics result.</w:t>
      </w:r>
    </w:p>
    <w:p>
      <w:pPr>
        <w:pStyle w:val="Heading2"/>
      </w:pPr>
      <w:r>
        <w:t xml:space="preserve">4.5 Objective before subjective</w:t>
      </w:r>
    </w:p>
    <w:p>
      <w:pPr>
        <w:pStyle w:val="Normal"/>
      </w:pPr>
      <w:r>
        <w:t xml:space="preserve">Direct on-chain observations and deterministic calculations have priority. Expert judgement may be used only for clearly labelled classifications, risk interpretation or disputed evidence. Subjective inputs cannot be hidden inside quantitative scores.</w:t>
      </w:r>
    </w:p>
    <w:p>
      <w:pPr>
        <w:pStyle w:val="Heading2"/>
      </w:pPr>
      <w:r>
        <w:t xml:space="preserve">4.6 Separation of measurement and markets</w:t>
      </w:r>
    </w:p>
    <w:p>
      <w:pPr>
        <w:pStyle w:val="Normal"/>
      </w:pPr>
      <w:r>
        <w:t xml:space="preserve">VTS measures intrinsic network economic performance. VRI measures market recognition. VOX and V-FOREX are optional implementation layers. Market price cannot be used to define VTS, and VOX-specific liquidity cannot be used to determine the score that authorises VOX issuance.</w:t>
      </w:r>
    </w:p>
    <w:p>
      <w:pPr>
        <w:pStyle w:val="Heading2"/>
      </w:pPr>
      <w:r>
        <w:t xml:space="preserve">4.7 Honest uncertainty</w:t>
      </w:r>
    </w:p>
    <w:p>
      <w:pPr>
        <w:pStyle w:val="Normal"/>
      </w:pPr>
      <w:r>
        <w:t xml:space="preserve">A score must not imply more certainty than the evidence supports. VCS is mandatory. Provisional, experimental and disputed results must be labelled visibly.</w:t>
      </w:r>
    </w:p>
    <w:p>
      <w:pPr>
        <w:pStyle w:val="Heading2"/>
      </w:pPr>
      <w:r>
        <w:t xml:space="preserve">4.8 Immutable history with versioned recalculation</w:t>
      </w:r>
    </w:p>
    <w:p>
      <w:pPr>
        <w:pStyle w:val="Normal"/>
      </w:pPr>
      <w:r>
        <w:t xml:space="preserve">Published historical observations are immutable. When methodology changes, the framework may publish a new versioned historical series, but it must preserve the previous series and identify the exact methodological difference. History is not silently rewritten.</w:t>
      </w:r>
    </w:p>
    <w:p>
      <w:pPr>
        <w:pStyle w:val="Heading2"/>
      </w:pPr>
      <w:r>
        <w:t xml:space="preserve">4.9 One DAO, one standard</w:t>
      </w:r>
    </w:p>
    <w:p>
      <w:pPr>
        <w:pStyle w:val="Normal"/>
      </w:pPr>
      <w:r>
        <w:t xml:space="preserve">One VOX DAO governs the global framework. It does not govern individual networks. It governs the common measurement standard, approved adapters, confidence policy, data-source standards, versioning and optional VOX implementation.</w:t>
      </w:r>
    </w:p>
    <w:p>
      <w:pPr>
        <w:pStyle w:val="Heading2"/>
      </w:pPr>
      <w:r>
        <w:t xml:space="preserve">4.10 Open observability</w:t>
      </w:r>
    </w:p>
    <w:p>
      <w:pPr>
        <w:pStyle w:val="Normal"/>
      </w:pPr>
      <w:r>
        <w:t xml:space="preserve">A public network does not need to opt in before it can be measured from public evidence. Official certification concerns the quality of the adapter and publication, not permission from the network.</w:t>
      </w:r>
    </w:p>
    <w:p>
      <w:pPr>
        <w:jc w:val="center"/>
      </w:pPr>
      <w:r>
        <w:drawing>
          <wp:inline distT="0" distB="0" distL="0" distR="0">
            <wp:extent cx="5638800" cy="2968643"/>
            <wp:docPr id="3" name="Figure 3" descr="Specification figure or equation in 4. Constitutional Principles; original available in the DOCX"/>
            <a:graphic>
              <a:graphicData uri="http://schemas.openxmlformats.org/drawingml/2006/picture">
                <pic:pic>
                  <pic:nvPicPr>
                    <pic:cNvPr id="0" name="image3.png"/>
                    <pic:cNvPicPr/>
                  </pic:nvPicPr>
                  <pic:blipFill>
                    <a:blip r:embed="rId5"/>
                    <a:stretch>
                      <a:fillRect/>
                    </a:stretch>
                  </pic:blipFill>
                  <pic:spPr>
                    <a:xfrm>
                      <a:off x="0" y="0"/>
                      <a:ext cx="5638800" cy="2968643"/>
                    </a:xfrm>
                    <a:prstGeom prst="rect">
                      <a:avLst/>
                    </a:prstGeom>
                  </pic:spPr>
                </pic:pic>
              </a:graphicData>
            </a:graphic>
          </wp:inline>
        </w:drawing>
      </w:r>
    </w:p>
    <w:p>
      <w:pPr>
        <w:pStyle w:val="Normal"/>
      </w:pPr>
      <w:r>
        <w:t xml:space="preserve">The Voxonomics architecture separates public evidence, universal adapters, measurement, analytical outputs, optional markets, and governance.</w:t>
      </w:r>
    </w:p>
    <w:p>
      <w:pPr>
        <w:pStyle w:val="Normal"/>
      </w:pPr>
      <w:r>
        <w:t xml:space="preserve">Part II — Architecture, Data and Measurement</w:t>
      </w:r>
    </w:p>
    <w:p>
      <w:pPr>
        <w:pStyle w:val="Heading1"/>
        <w:pageBreakBefore/>
      </w:pPr>
      <w:r>
        <w:t xml:space="preserve">5. System Architecture</w:t>
      </w:r>
    </w:p>
    <w:p>
      <w:pPr>
        <w:pStyle w:val="Heading2"/>
      </w:pPr>
      <w:r>
        <w:t xml:space="preserve">5.1 Overview</w:t>
      </w:r>
    </w:p>
    <w:p>
      <w:pPr>
        <w:pStyle w:val="Normal"/>
      </w:pPr>
      <w:r>
        <w:t xml:space="preserve">Voxonomics is designed as a modular system rather than a single contract or data feed. The architecture contains six operational layers:</w:t>
      </w:r>
    </w:p>
    <w:p>
      <w:pPr>
        <w:pStyle w:val="ListParagraph"/>
      </w:pPr>
      <w:r>
        <w:t xml:space="preserve">• Public data layer — raw blockchain nodes, RPC services, event logs, indexers, subgraphs and verified external datasets.</w:t>
      </w:r>
    </w:p>
    <w:p>
      <w:pPr>
        <w:pStyle w:val="ListParagraph"/>
      </w:pPr>
      <w:r>
        <w:t xml:space="preserve">• Adapter layer — chain-specific extraction and transformation code mapped to universal metric definitions.</w:t>
      </w:r>
    </w:p>
    <w:p>
      <w:pPr>
        <w:pStyle w:val="ListParagraph"/>
      </w:pPr>
      <w:r>
        <w:t xml:space="preserve">• Measurement engine — normalisation, weighting, smoothing, validation and index aggregation.</w:t>
      </w:r>
    </w:p>
    <w:p>
      <w:pPr>
        <w:pStyle w:val="ListParagraph"/>
      </w:pPr>
      <w:r>
        <w:t xml:space="preserve">• Analytical layer — VTS, ERU, VRI, Opportunity Gap, VRS and VCS.</w:t>
      </w:r>
    </w:p>
    <w:p>
      <w:pPr>
        <w:pStyle w:val="ListParagraph"/>
      </w:pPr>
      <w:r>
        <w:t xml:space="preserve">• Transparency and governance layer — VoxUI, audit records, disputes, versioning and DAO processes.</w:t>
      </w:r>
    </w:p>
    <w:p>
      <w:pPr>
        <w:pStyle w:val="ListParagraph"/>
      </w:pPr>
      <w:r>
        <w:t xml:space="preserve">• Optional economic layer — VOX units, V-FOREX reference rates and settlement modules.</w:t>
      </w:r>
    </w:p>
    <w:p>
      <w:pPr>
        <w:pStyle w:val="Normal"/>
      </w:pPr>
      <w:r>
        <w:t xml:space="preserve">The layers are deliberately separable. The measurement and analytical layers can operate before any DAO token, VOX asset or market exists.</w:t>
      </w:r>
    </w:p>
    <w:p>
      <w:pPr>
        <w:pStyle w:val="Heading2"/>
      </w:pPr>
      <w:r>
        <w:t xml:space="preserve">5.2 Public data layer</w:t>
      </w:r>
    </w:p>
    <w:p>
      <w:pPr>
        <w:pStyle w:val="Normal"/>
      </w:pPr>
      <w:r>
        <w:t xml:space="preserve">The public data layer acquires observable facts without interpreting them. Typical observations include blocks, transactions, receipts, events, balances, validator or miner records, governance events, DEX reserves, trade execution, bridge messages, security incidents and historical snapshots.</w:t>
      </w:r>
    </w:p>
    <w:p>
      <w:pPr>
        <w:pStyle w:val="Normal"/>
      </w:pPr>
      <w:r>
        <w:t xml:space="preserve">A data source is acceptable when it provides sufficient provenance to identify:</w:t>
      </w:r>
    </w:p>
    <w:p>
      <w:pPr>
        <w:pStyle w:val="ListParagraph"/>
      </w:pPr>
      <w:r>
        <w:t xml:space="preserve">• the network and chain identifier;</w:t>
      </w:r>
    </w:p>
    <w:p>
      <w:pPr>
        <w:pStyle w:val="ListParagraph"/>
      </w:pPr>
      <w:r>
        <w:t xml:space="preserve">• the observed block height or time range;</w:t>
      </w:r>
    </w:p>
    <w:p>
      <w:pPr>
        <w:pStyle w:val="ListParagraph"/>
      </w:pPr>
      <w:r>
        <w:t xml:space="preserve">• the extraction method;</w:t>
      </w:r>
    </w:p>
    <w:p>
      <w:pPr>
        <w:pStyle w:val="ListParagraph"/>
      </w:pPr>
      <w:r>
        <w:t xml:space="preserve">• units and decimal conventions;</w:t>
      </w:r>
    </w:p>
    <w:p>
      <w:pPr>
        <w:pStyle w:val="ListParagraph"/>
      </w:pPr>
      <w:r>
        <w:t xml:space="preserve">• whether the observation is raw, aggregated or estimated;</w:t>
      </w:r>
    </w:p>
    <w:p>
      <w:pPr>
        <w:pStyle w:val="ListParagraph"/>
      </w:pPr>
      <w:r>
        <w:t xml:space="preserve">• revision policy and known limitations.</w:t>
      </w:r>
    </w:p>
    <w:p>
      <w:pPr>
        <w:pStyle w:val="Normal"/>
      </w:pPr>
      <w:r>
        <w:t xml:space="preserve">Direct node and RPC data are preferred for facts that can be computed deterministically. Indexers and specialised providers are used where complete historical reconstruction would otherwise be impractical. No single provider is treated as an unquestionable authority.</w:t>
      </w:r>
    </w:p>
    <w:p>
      <w:pPr>
        <w:pStyle w:val="Heading2"/>
      </w:pPr>
      <w:r>
        <w:t xml:space="preserve">5.3 Adapter layer</w:t>
      </w:r>
    </w:p>
    <w:p>
      <w:pPr>
        <w:pStyle w:val="Normal"/>
      </w:pPr>
      <w:r>
        <w:t xml:space="preserve">An adapter translates a network’s architecture into the canonical metric registry. Every adapter must include:</w:t>
      </w:r>
    </w:p>
    <w:p>
      <w:pPr>
        <w:pStyle w:val="ListParagraph"/>
      </w:pPr>
      <w:r>
        <w:t xml:space="preserve">• network identity and canonical chain scope;</w:t>
      </w:r>
    </w:p>
    <w:p>
      <w:pPr>
        <w:pStyle w:val="ListParagraph"/>
      </w:pPr>
      <w:r>
        <w:t xml:space="preserve">• supported metric definitions;</w:t>
      </w:r>
    </w:p>
    <w:p>
      <w:pPr>
        <w:pStyle w:val="ListParagraph"/>
      </w:pPr>
      <w:r>
        <w:t xml:space="preserve">• source hierarchy and fallback sources;</w:t>
      </w:r>
    </w:p>
    <w:p>
      <w:pPr>
        <w:pStyle w:val="ListParagraph"/>
      </w:pPr>
      <w:r>
        <w:t xml:space="preserve">• extraction queries or code;</w:t>
      </w:r>
    </w:p>
    <w:p>
      <w:pPr>
        <w:pStyle w:val="ListParagraph"/>
      </w:pPr>
      <w:r>
        <w:t xml:space="preserve">• unit conversions;</w:t>
      </w:r>
    </w:p>
    <w:p>
      <w:pPr>
        <w:pStyle w:val="ListParagraph"/>
      </w:pPr>
      <w:r>
        <w:t xml:space="preserve">• exclusions and known blind spots;</w:t>
      </w:r>
    </w:p>
    <w:p>
      <w:pPr>
        <w:pStyle w:val="ListParagraph"/>
      </w:pPr>
      <w:r>
        <w:t xml:space="preserve">• test fixtures and expected outputs;</w:t>
      </w:r>
    </w:p>
    <w:p>
      <w:pPr>
        <w:pStyle w:val="ListParagraph"/>
      </w:pPr>
      <w:r>
        <w:t xml:space="preserve">• version number and maintainers;</w:t>
      </w:r>
    </w:p>
    <w:p>
      <w:pPr>
        <w:pStyle w:val="ListParagraph"/>
      </w:pPr>
      <w:r>
        <w:t xml:space="preserve">• reproducible build and execution instructions.</w:t>
      </w:r>
    </w:p>
    <w:p>
      <w:pPr>
        <w:pStyle w:val="Normal"/>
      </w:pPr>
      <w:r>
        <w:t xml:space="preserve">Adapters are public and reviewable. Certification means the adapter follows the standard; it does not imply endorsement of the measured network.</w:t>
      </w:r>
    </w:p>
    <w:p>
      <w:pPr>
        <w:pStyle w:val="Heading2"/>
      </w:pPr>
      <w:r>
        <w:t xml:space="preserve">5.4 Measurement engine</w:t>
      </w:r>
    </w:p>
    <w:p>
      <w:pPr>
        <w:pStyle w:val="Normal"/>
      </w:pPr>
      <w:r>
        <w:t xml:space="preserve">The measurement engine receives validated observations and applies deterministic steps:</w:t>
      </w:r>
    </w:p>
    <w:p>
      <w:pPr>
        <w:pStyle w:val="ListParagraph"/>
      </w:pPr>
      <w:r>
        <w:t xml:space="preserve">• direction and unit transformations;</w:t>
      </w:r>
    </w:p>
    <w:p>
      <w:pPr>
        <w:pStyle w:val="ListParagraph"/>
      </w:pPr>
      <w:r>
        <w:t xml:space="preserve">• quality filters and source reconciliation;</w:t>
      </w:r>
    </w:p>
    <w:p>
      <w:pPr>
        <w:pStyle w:val="ListParagraph"/>
      </w:pPr>
      <w:r>
        <w:t xml:space="preserve">• robust normalisation;</w:t>
      </w:r>
    </w:p>
    <w:p>
      <w:pPr>
        <w:pStyle w:val="ListParagraph"/>
      </w:pPr>
      <w:r>
        <w:t xml:space="preserve">• time smoothing and persistence tests;</w:t>
      </w:r>
    </w:p>
    <w:p>
      <w:pPr>
        <w:pStyle w:val="ListParagraph"/>
      </w:pPr>
      <w:r>
        <w:t xml:space="preserve">• submetric aggregation;</w:t>
      </w:r>
    </w:p>
    <w:p>
      <w:pPr>
        <w:pStyle w:val="ListParagraph"/>
      </w:pPr>
      <w:r>
        <w:t xml:space="preserve">• parent-index aggregation;</w:t>
      </w:r>
    </w:p>
    <w:p>
      <w:pPr>
        <w:pStyle w:val="ListParagraph"/>
      </w:pPr>
      <w:r>
        <w:t xml:space="preserve">• coverage and confidence calculation;</w:t>
      </w:r>
    </w:p>
    <w:p>
      <w:pPr>
        <w:pStyle w:val="ListParagraph"/>
      </w:pPr>
      <w:r>
        <w:t xml:space="preserve">• publication of results and evidence.</w:t>
      </w:r>
    </w:p>
    <w:p>
      <w:pPr>
        <w:jc w:val="center"/>
      </w:pPr>
      <w:r>
        <w:drawing>
          <wp:inline distT="0" distB="0" distL="0" distR="0">
            <wp:extent cx="5638800" cy="384302"/>
            <wp:docPr id="4" name="Figure 4" descr="Specification figure or equation in 5. System Architecture; original available in the DOCX"/>
            <a:graphic>
              <a:graphicData uri="http://schemas.openxmlformats.org/drawingml/2006/picture">
                <pic:pic>
                  <pic:nvPicPr>
                    <pic:cNvPr id="0" name="image4.png"/>
                    <pic:cNvPicPr/>
                  </pic:nvPicPr>
                  <pic:blipFill>
                    <a:blip r:embed="rId6"/>
                    <a:stretch>
                      <a:fillRect/>
                    </a:stretch>
                  </pic:blipFill>
                  <pic:spPr>
                    <a:xfrm>
                      <a:off x="0" y="0"/>
                      <a:ext cx="5638800" cy="384302"/>
                    </a:xfrm>
                    <a:prstGeom prst="rect">
                      <a:avLst/>
                    </a:prstGeom>
                  </pic:spPr>
                </pic:pic>
              </a:graphicData>
            </a:graphic>
          </wp:inline>
        </w:drawing>
      </w:r>
    </w:p>
    <w:p>
      <w:pPr>
        <w:pStyle w:val="Normal"/>
      </w:pPr>
      <w:r>
        <w:t xml:space="preserve">The canonical data path from raw observation to published score.</w:t>
      </w:r>
    </w:p>
    <w:p>
      <w:pPr>
        <w:pStyle w:val="Heading2"/>
      </w:pPr>
      <w:r>
        <w:t xml:space="preserve">5.5 Analytical layer</w:t>
      </w:r>
    </w:p>
    <w:p>
      <w:pPr>
        <w:pStyle w:val="Normal"/>
      </w:pPr>
      <w:r>
        <w:t xml:space="preserve">The analytical layer does not replace the underlying indices. It converts them into distinct decision tools:</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Output</w:t>
            </w:r>
          </w:p>
        </w:tc>
        <w:tc>
          <w:tcPr>
            <w:tcW w:w="3033" w:type="dxa"/>
          </w:tcPr>
          <w:p>
            <w:pPr>
              <w:pStyle w:val="TableHeader"/>
            </w:pPr>
            <w:r>
              <w:t xml:space="preserve">Purpose</w:t>
            </w:r>
          </w:p>
        </w:tc>
        <w:tc>
          <w:tcPr>
            <w:tcW w:w="3033" w:type="dxa"/>
          </w:tcPr>
          <w:p>
            <w:pPr>
              <w:pStyle w:val="TableHeader"/>
            </w:pPr>
            <w:r>
              <w:t xml:space="preserve">Direction</w:t>
            </w:r>
          </w:p>
        </w:tc>
      </w:tr>
      <w:tr>
        <w:trPr>
          <w:cantSplit/>
        </w:trPr>
        <w:tc>
          <w:tcPr>
            <w:tcW w:w="3033" w:type="dxa"/>
          </w:tcPr>
          <w:p>
            <w:pPr>
              <w:pStyle w:val="TableText"/>
            </w:pPr>
            <w:r>
              <w:t xml:space="preserve">VTS</w:t>
            </w:r>
          </w:p>
        </w:tc>
        <w:tc>
          <w:tcPr>
            <w:tcW w:w="3033" w:type="dxa"/>
          </w:tcPr>
          <w:p>
            <w:pPr>
              <w:pStyle w:val="TableText"/>
            </w:pPr>
            <w:r>
              <w:t xml:space="preserve">Intrinsic network economic measurement</w:t>
            </w:r>
          </w:p>
        </w:tc>
        <w:tc>
          <w:tcPr>
            <w:tcW w:w="3033" w:type="dxa"/>
          </w:tcPr>
          <w:p>
            <w:pPr>
              <w:pStyle w:val="TableText"/>
            </w:pPr>
            <w:r>
              <w:t xml:space="preserve">Higher is stronger relative to ERU</w:t>
            </w:r>
          </w:p>
        </w:tc>
      </w:tr>
      <w:tr>
        <w:trPr>
          <w:cantSplit/>
        </w:trPr>
        <w:tc>
          <w:tcPr>
            <w:tcW w:w="3033" w:type="dxa"/>
          </w:tcPr>
          <w:p>
            <w:pPr>
              <w:pStyle w:val="TableText"/>
            </w:pPr>
            <w:r>
              <w:t xml:space="preserve">VRI</w:t>
            </w:r>
          </w:p>
        </w:tc>
        <w:tc>
          <w:tcPr>
            <w:tcW w:w="3033" w:type="dxa"/>
          </w:tcPr>
          <w:p>
            <w:pPr>
              <w:pStyle w:val="TableText"/>
            </w:pPr>
            <w:r>
              <w:t xml:space="preserve">Market recognition of fundamentals</w:t>
            </w:r>
          </w:p>
        </w:tc>
        <w:tc>
          <w:tcPr>
            <w:tcW w:w="3033" w:type="dxa"/>
          </w:tcPr>
          <w:p>
            <w:pPr>
              <w:pStyle w:val="TableText"/>
            </w:pPr>
            <w:r>
              <w:t xml:space="preserve">Higher is greater recognition</w:t>
            </w:r>
          </w:p>
        </w:tc>
      </w:tr>
      <w:tr>
        <w:trPr>
          <w:cantSplit/>
        </w:trPr>
        <w:tc>
          <w:tcPr>
            <w:tcW w:w="3033" w:type="dxa"/>
          </w:tcPr>
          <w:p>
            <w:pPr>
              <w:pStyle w:val="TableText"/>
            </w:pPr>
            <w:r>
              <w:t xml:space="preserve">Opportunity Gap</w:t>
            </w:r>
          </w:p>
        </w:tc>
        <w:tc>
          <w:tcPr>
            <w:tcW w:w="3033" w:type="dxa"/>
          </w:tcPr>
          <w:p>
            <w:pPr>
              <w:pStyle w:val="TableText"/>
            </w:pPr>
            <w:r>
              <w:t xml:space="preserve">Difference between intrinsic measurement and recognition</w:t>
            </w:r>
          </w:p>
        </w:tc>
        <w:tc>
          <w:tcPr>
            <w:tcW w:w="3033" w:type="dxa"/>
          </w:tcPr>
          <w:p>
            <w:pPr>
              <w:pStyle w:val="TableText"/>
            </w:pPr>
            <w:r>
              <w:t xml:space="preserve">Positive suggests under-recognition; negative suggests over-recognition</w:t>
            </w:r>
          </w:p>
        </w:tc>
      </w:tr>
      <w:tr>
        <w:trPr>
          <w:cantSplit/>
        </w:trPr>
        <w:tc>
          <w:tcPr>
            <w:tcW w:w="3033" w:type="dxa"/>
          </w:tcPr>
          <w:p>
            <w:pPr>
              <w:pStyle w:val="TableText"/>
            </w:pPr>
            <w:r>
              <w:t xml:space="preserve">VRS</w:t>
            </w:r>
          </w:p>
        </w:tc>
        <w:tc>
          <w:tcPr>
            <w:tcW w:w="3033" w:type="dxa"/>
          </w:tcPr>
          <w:p>
            <w:pPr>
              <w:pStyle w:val="TableText"/>
            </w:pPr>
            <w:r>
              <w:t xml:space="preserve">Aggregate structural risk</w:t>
            </w:r>
          </w:p>
        </w:tc>
        <w:tc>
          <w:tcPr>
            <w:tcW w:w="3033" w:type="dxa"/>
          </w:tcPr>
          <w:p>
            <w:pPr>
              <w:pStyle w:val="TableText"/>
            </w:pPr>
            <w:r>
              <w:t xml:space="preserve">Higher is riskier</w:t>
            </w:r>
          </w:p>
        </w:tc>
      </w:tr>
      <w:tr>
        <w:trPr>
          <w:cantSplit/>
        </w:trPr>
        <w:tc>
          <w:tcPr>
            <w:tcW w:w="3033" w:type="dxa"/>
          </w:tcPr>
          <w:p>
            <w:pPr>
              <w:pStyle w:val="TableText"/>
            </w:pPr>
            <w:r>
              <w:t xml:space="preserve">VCS</w:t>
            </w:r>
          </w:p>
        </w:tc>
        <w:tc>
          <w:tcPr>
            <w:tcW w:w="3033" w:type="dxa"/>
          </w:tcPr>
          <w:p>
            <w:pPr>
              <w:pStyle w:val="TableText"/>
            </w:pPr>
            <w:r>
              <w:t xml:space="preserve">Confidence in evidence and calculation</w:t>
            </w:r>
          </w:p>
        </w:tc>
        <w:tc>
          <w:tcPr>
            <w:tcW w:w="3033" w:type="dxa"/>
          </w:tcPr>
          <w:p>
            <w:pPr>
              <w:pStyle w:val="TableText"/>
            </w:pPr>
            <w:r>
              <w:t xml:space="preserve">Higher is more reliable</w:t>
            </w:r>
          </w:p>
        </w:tc>
      </w:tr>
    </w:tbl>
    <w:p>
      <w:pPr>
        <w:pStyle w:val="Heading2"/>
      </w:pPr>
      <w:r>
        <w:t xml:space="preserve">5.6 Transparency and governance layer</w:t>
      </w:r>
    </w:p>
    <w:p>
      <w:pPr>
        <w:pStyle w:val="Normal"/>
      </w:pPr>
      <w:r>
        <w:t xml:space="preserve">VoxUI exposes current and historical scores, source observations, methodology versions, calculation traces, confidence bands and governance decisions. The DAO maintains the standard and adjudicates disputes through published evidence rather than private discretion.</w:t>
      </w:r>
    </w:p>
    <w:p>
      <w:pPr>
        <w:pStyle w:val="Heading2"/>
      </w:pPr>
      <w:r>
        <w:t xml:space="preserve">5.7 Optional economic layer</w:t>
      </w:r>
    </w:p>
    <w:p>
      <w:pPr>
        <w:pStyle w:val="Normal"/>
      </w:pPr>
      <w:r>
        <w:t xml:space="preserve">The optional economic layer translates VTS into VOX units and cross-network reference ratios. It is not required for the framework to deliver value. Its activation is gated by higher standards because issuance, market liquidity, bridges and settlement introduce risks that do not exist in a read-only analytical system.</w:t>
      </w:r>
    </w:p>
    <w:p>
      <w:pPr>
        <w:pStyle w:val="Heading2"/>
      </w:pPr>
      <w:r>
        <w:t xml:space="preserve">5.8 Evidence infrastructure in Edition 3.2</w:t>
      </w:r>
    </w:p>
    <w:p>
      <w:pPr>
        <w:pStyle w:val="Normal"/>
      </w:pPr>
      <w:r>
        <w:t xml:space="preserve">Edition 3.2 adds a governed evidence infrastructure beneath the existing public-data, adapter and measurement layers. Collection alone is insufficient: authoritative source evidence required for reproducibility must be preserved, provenance-connected, readable through a canonical access boundary and governed through explicit lifecycle states. Part IX defines this architecture without altering the economic definitions above it.</w:t>
      </w:r>
    </w:p>
    <w:p>
      <w:pPr>
        <w:pStyle w:val="Heading1"/>
        <w:pageBreakBefore/>
      </w:pPr>
      <w:r>
        <w:t xml:space="preserve">6. Data-Source Hierarchy and Provenance</w:t>
      </w:r>
    </w:p>
    <w:p>
      <w:pPr>
        <w:pStyle w:val="Heading2"/>
      </w:pPr>
      <w:r>
        <w:t xml:space="preserve">6.1 Source hierarchy</w:t>
      </w:r>
    </w:p>
    <w:p>
      <w:pPr>
        <w:pStyle w:val="Normal"/>
      </w:pPr>
      <w:r>
        <w:t xml:space="preserve">Voxonomics uses a hybrid ingestion system. No single category is sufficient for every network or metric.</w:t>
      </w:r>
    </w:p>
    <w:p>
      <w:pPr>
        <w:pStyle w:val="Normal"/>
      </w:pPr>
      <w:r>
        <w:t xml:space="preserve">The default hierarchy is:</w:t>
      </w:r>
    </w:p>
    <w:p>
      <w:pPr>
        <w:pStyle w:val="ListParagraph"/>
      </w:pPr>
      <w:r>
        <w:t xml:space="preserve">• Canonical chain data — archival nodes, RPC methods, state proofs, logs and consensus records.</w:t>
      </w:r>
    </w:p>
    <w:p>
      <w:pPr>
        <w:pStyle w:val="ListParagraph"/>
      </w:pPr>
      <w:r>
        <w:t xml:space="preserve">• Open-source deterministic indexers — reproducible indexing software and public datasets.</w:t>
      </w:r>
    </w:p>
    <w:p>
      <w:pPr>
        <w:pStyle w:val="ListParagraph"/>
      </w:pPr>
      <w:r>
        <w:t xml:space="preserve">• Protocol and application subgraphs or APIs — used where contract-level semantics require specialised interpretation.</w:t>
      </w:r>
    </w:p>
    <w:p>
      <w:pPr>
        <w:pStyle w:val="ListParagraph"/>
      </w:pPr>
      <w:r>
        <w:t xml:space="preserve">• Cross-chain aggregators — used for harmonised DeFi, fee, stablecoin, bridge or market data when methodology is public.</w:t>
      </w:r>
    </w:p>
    <w:p>
      <w:pPr>
        <w:pStyle w:val="ListParagraph"/>
      </w:pPr>
      <w:r>
        <w:t xml:space="preserve">• Governance-approved specialist providers — used for difficult historical or security datasets.</w:t>
      </w:r>
    </w:p>
    <w:p>
      <w:pPr>
        <w:pStyle w:val="ListParagraph"/>
      </w:pPr>
      <w:r>
        <w:t xml:space="preserve">• Premium analytics — optional corroboration, never the sole inaccessible foundation of a public score.</w:t>
      </w:r>
    </w:p>
    <w:p>
      <w:pPr>
        <w:pStyle w:val="Normal"/>
      </w:pPr>
      <w:r>
        <w:t xml:space="preserve">DefiLlama, The Graph, CoinGecko, public explorers, chain-specific RPC interfaces and decentralised oracle networks are examples of components that may serve different parts of this hierarchy [3–8]. Their inclusion is not permanent or exclusive; each source is evaluated against the data standard.</w:t>
      </w:r>
    </w:p>
    <w:p>
      <w:pPr>
        <w:pStyle w:val="Heading2"/>
      </w:pPr>
      <w:r>
        <w:t xml:space="preserve">6.2 Source independence</w:t>
      </w:r>
    </w:p>
    <w:p>
      <w:pPr>
        <w:pStyle w:val="Normal"/>
      </w:pPr>
      <w:r>
        <w:t xml:space="preserve">Multiple API endpoints do not necessarily represent independent evidence. Two providers may copy the same upstream index. The framework therefore distinguishes:</w:t>
      </w:r>
    </w:p>
    <w:p>
      <w:pPr>
        <w:pStyle w:val="ListParagraph"/>
      </w:pPr>
      <w:r>
        <w:t xml:space="preserve">• transport redundancy — multiple endpoints serving the same underlying data;</w:t>
      </w:r>
    </w:p>
    <w:p>
      <w:pPr>
        <w:pStyle w:val="ListParagraph"/>
      </w:pPr>
      <w:r>
        <w:t xml:space="preserve">• methodological independence — independently generated datasets or calculations;</w:t>
      </w:r>
    </w:p>
    <w:p>
      <w:pPr>
        <w:pStyle w:val="ListParagraph"/>
      </w:pPr>
      <w:r>
        <w:t xml:space="preserve">• cryptographic verifiability — observations that can be proven directly against chain state.</w:t>
      </w:r>
    </w:p>
    <w:p>
      <w:pPr>
        <w:pStyle w:val="Normal"/>
      </w:pPr>
      <w:r>
        <w:t xml:space="preserve">For critical metrics, confidence increases when observations are both independently generated and cryptographically or deterministically verifiable.</w:t>
      </w:r>
    </w:p>
    <w:p>
      <w:pPr>
        <w:pStyle w:val="Heading2"/>
      </w:pPr>
      <w:r>
        <w:t xml:space="preserve">6.3 Provenance record</w:t>
      </w:r>
    </w:p>
    <w:p>
      <w:pPr>
        <w:pStyle w:val="Normal"/>
      </w:pPr>
      <w:r>
        <w:t xml:space="preserve">Every stored observation must carry a provenance record:</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Field</w:t>
            </w:r>
          </w:p>
        </w:tc>
        <w:tc>
          <w:tcPr>
            <w:tcW w:w="4550" w:type="dxa"/>
          </w:tcPr>
          <w:p>
            <w:pPr>
              <w:pStyle w:val="TableHeader"/>
            </w:pPr>
            <w:r>
              <w:t xml:space="preserve">Requirement</w:t>
            </w:r>
          </w:p>
        </w:tc>
      </w:tr>
      <w:tr>
        <w:trPr>
          <w:cantSplit/>
        </w:trPr>
        <w:tc>
          <w:tcPr>
            <w:tcW w:w="4550" w:type="dxa"/>
          </w:tcPr>
          <w:p>
            <w:pPr>
              <w:pStyle w:val="TableText"/>
            </w:pPr>
            <w:r>
              <w:t xml:space="preserve">network_id</w:t>
            </w:r>
          </w:p>
        </w:tc>
        <w:tc>
          <w:tcPr>
            <w:tcW w:w="4550" w:type="dxa"/>
          </w:tcPr>
          <w:p>
            <w:pPr>
              <w:pStyle w:val="TableText"/>
            </w:pPr>
            <w:r>
              <w:t xml:space="preserve">Canonical identifier and chain ID where applicable</w:t>
            </w:r>
          </w:p>
        </w:tc>
      </w:tr>
      <w:tr>
        <w:trPr>
          <w:cantSplit/>
        </w:trPr>
        <w:tc>
          <w:tcPr>
            <w:tcW w:w="4550" w:type="dxa"/>
          </w:tcPr>
          <w:p>
            <w:pPr>
              <w:pStyle w:val="TableText"/>
            </w:pPr>
            <w:r>
              <w:t xml:space="preserve">metric_id</w:t>
            </w:r>
          </w:p>
        </w:tc>
        <w:tc>
          <w:tcPr>
            <w:tcW w:w="4550" w:type="dxa"/>
          </w:tcPr>
          <w:p>
            <w:pPr>
              <w:pStyle w:val="TableText"/>
            </w:pPr>
            <w:r>
              <w:t xml:space="preserve">Versioned canonical submetric identifier</w:t>
            </w:r>
          </w:p>
        </w:tc>
      </w:tr>
      <w:tr>
        <w:trPr>
          <w:cantSplit/>
        </w:trPr>
        <w:tc>
          <w:tcPr>
            <w:tcW w:w="4550" w:type="dxa"/>
          </w:tcPr>
          <w:p>
            <w:pPr>
              <w:pStyle w:val="TableText"/>
            </w:pPr>
            <w:r>
              <w:t xml:space="preserve">period_start, period_end</w:t>
            </w:r>
          </w:p>
        </w:tc>
        <w:tc>
          <w:tcPr>
            <w:tcW w:w="4550" w:type="dxa"/>
          </w:tcPr>
          <w:p>
            <w:pPr>
              <w:pStyle w:val="TableText"/>
            </w:pPr>
            <w:r>
              <w:t xml:space="preserve">Exact observation window</w:t>
            </w:r>
          </w:p>
        </w:tc>
      </w:tr>
      <w:tr>
        <w:trPr>
          <w:cantSplit/>
        </w:trPr>
        <w:tc>
          <w:tcPr>
            <w:tcW w:w="4550" w:type="dxa"/>
          </w:tcPr>
          <w:p>
            <w:pPr>
              <w:pStyle w:val="TableText"/>
            </w:pPr>
            <w:r>
              <w:t xml:space="preserve">block_start, block_end</w:t>
            </w:r>
          </w:p>
        </w:tc>
        <w:tc>
          <w:tcPr>
            <w:tcW w:w="4550" w:type="dxa"/>
          </w:tcPr>
          <w:p>
            <w:pPr>
              <w:pStyle w:val="TableText"/>
            </w:pPr>
            <w:r>
              <w:t xml:space="preserve">Block bounds when available</w:t>
            </w:r>
          </w:p>
        </w:tc>
      </w:tr>
      <w:tr>
        <w:trPr>
          <w:cantSplit/>
        </w:trPr>
        <w:tc>
          <w:tcPr>
            <w:tcW w:w="4550" w:type="dxa"/>
          </w:tcPr>
          <w:p>
            <w:pPr>
              <w:pStyle w:val="TableText"/>
            </w:pPr>
            <w:r>
              <w:t xml:space="preserve">source_id</w:t>
            </w:r>
          </w:p>
        </w:tc>
        <w:tc>
          <w:tcPr>
            <w:tcW w:w="4550" w:type="dxa"/>
          </w:tcPr>
          <w:p>
            <w:pPr>
              <w:pStyle w:val="TableText"/>
            </w:pPr>
            <w:r>
              <w:t xml:space="preserve">Provider, node, indexer or contract source</w:t>
            </w:r>
          </w:p>
        </w:tc>
      </w:tr>
      <w:tr>
        <w:trPr>
          <w:cantSplit/>
        </w:trPr>
        <w:tc>
          <w:tcPr>
            <w:tcW w:w="4550" w:type="dxa"/>
          </w:tcPr>
          <w:p>
            <w:pPr>
              <w:pStyle w:val="TableText"/>
            </w:pPr>
            <w:r>
              <w:t xml:space="preserve">query_hash</w:t>
            </w:r>
          </w:p>
        </w:tc>
        <w:tc>
          <w:tcPr>
            <w:tcW w:w="4550" w:type="dxa"/>
          </w:tcPr>
          <w:p>
            <w:pPr>
              <w:pStyle w:val="TableText"/>
            </w:pPr>
            <w:r>
              <w:t xml:space="preserve">Hash of extraction query or code version</w:t>
            </w:r>
          </w:p>
        </w:tc>
      </w:tr>
      <w:tr>
        <w:trPr>
          <w:cantSplit/>
        </w:trPr>
        <w:tc>
          <w:tcPr>
            <w:tcW w:w="4550" w:type="dxa"/>
          </w:tcPr>
          <w:p>
            <w:pPr>
              <w:pStyle w:val="TableText"/>
            </w:pPr>
            <w:r>
              <w:t xml:space="preserve">raw_value</w:t>
            </w:r>
          </w:p>
        </w:tc>
        <w:tc>
          <w:tcPr>
            <w:tcW w:w="4550" w:type="dxa"/>
          </w:tcPr>
          <w:p>
            <w:pPr>
              <w:pStyle w:val="TableText"/>
            </w:pPr>
            <w:r>
              <w:t xml:space="preserve">Unmodified observation</w:t>
            </w:r>
          </w:p>
        </w:tc>
      </w:tr>
      <w:tr>
        <w:trPr>
          <w:cantSplit/>
        </w:trPr>
        <w:tc>
          <w:tcPr>
            <w:tcW w:w="4550" w:type="dxa"/>
          </w:tcPr>
          <w:p>
            <w:pPr>
              <w:pStyle w:val="TableText"/>
            </w:pPr>
            <w:r>
              <w:t xml:space="preserve">unit</w:t>
            </w:r>
          </w:p>
        </w:tc>
        <w:tc>
          <w:tcPr>
            <w:tcW w:w="4550" w:type="dxa"/>
          </w:tcPr>
          <w:p>
            <w:pPr>
              <w:pStyle w:val="TableText"/>
            </w:pPr>
            <w:r>
              <w:t xml:space="preserve">Explicit unit and decimal convention</w:t>
            </w:r>
          </w:p>
        </w:tc>
      </w:tr>
      <w:tr>
        <w:trPr>
          <w:cantSplit/>
        </w:trPr>
        <w:tc>
          <w:tcPr>
            <w:tcW w:w="4550" w:type="dxa"/>
          </w:tcPr>
          <w:p>
            <w:pPr>
              <w:pStyle w:val="TableText"/>
            </w:pPr>
            <w:r>
              <w:t xml:space="preserve">transform_version</w:t>
            </w:r>
          </w:p>
        </w:tc>
        <w:tc>
          <w:tcPr>
            <w:tcW w:w="4550" w:type="dxa"/>
          </w:tcPr>
          <w:p>
            <w:pPr>
              <w:pStyle w:val="TableText"/>
            </w:pPr>
            <w:r>
              <w:t xml:space="preserve">Version of post-processing logic</w:t>
            </w:r>
          </w:p>
        </w:tc>
      </w:tr>
      <w:tr>
        <w:trPr>
          <w:cantSplit/>
        </w:trPr>
        <w:tc>
          <w:tcPr>
            <w:tcW w:w="4550" w:type="dxa"/>
          </w:tcPr>
          <w:p>
            <w:pPr>
              <w:pStyle w:val="TableText"/>
            </w:pPr>
            <w:r>
              <w:t xml:space="preserve">retrieved_at</w:t>
            </w:r>
          </w:p>
        </w:tc>
        <w:tc>
          <w:tcPr>
            <w:tcW w:w="4550" w:type="dxa"/>
          </w:tcPr>
          <w:p>
            <w:pPr>
              <w:pStyle w:val="TableText"/>
            </w:pPr>
            <w:r>
              <w:t xml:space="preserve">Timestamp of acquisition</w:t>
            </w:r>
          </w:p>
        </w:tc>
      </w:tr>
      <w:tr>
        <w:trPr>
          <w:cantSplit/>
        </w:trPr>
        <w:tc>
          <w:tcPr>
            <w:tcW w:w="4550" w:type="dxa"/>
          </w:tcPr>
          <w:p>
            <w:pPr>
              <w:pStyle w:val="TableText"/>
            </w:pPr>
            <w:r>
              <w:t xml:space="preserve">quality_flags</w:t>
            </w:r>
          </w:p>
        </w:tc>
        <w:tc>
          <w:tcPr>
            <w:tcW w:w="4550" w:type="dxa"/>
          </w:tcPr>
          <w:p>
            <w:pPr>
              <w:pStyle w:val="TableText"/>
            </w:pPr>
            <w:r>
              <w:t xml:space="preserve">Missing, estimated, revised, disputed or anomalous status</w:t>
            </w:r>
          </w:p>
        </w:tc>
      </w:tr>
    </w:tbl>
    <w:p>
      <w:pPr>
        <w:pStyle w:val="Heading2"/>
      </w:pPr>
      <w:r>
        <w:t xml:space="preserve">6.4 Revision policy</w:t>
      </w:r>
    </w:p>
    <w:p>
      <w:pPr>
        <w:pStyle w:val="Normal"/>
      </w:pPr>
      <w:r>
        <w:t xml:space="preserve">Some datasets revise historical values because of improved labelling, chain reorganisations, contract classification or data-provider corrections. Voxonomics records revisions as new observation versions. It never overwrites the prior value without trace.</w:t>
      </w:r>
    </w:p>
    <w:p>
      <w:pPr>
        <w:pStyle w:val="Normal"/>
      </w:pPr>
      <w:r>
        <w:t xml:space="preserve">A revised value must show:</w:t>
      </w:r>
    </w:p>
    <w:p>
      <w:pPr>
        <w:pStyle w:val="ListParagraph"/>
      </w:pPr>
      <w:r>
        <w:t xml:space="preserve">• prior and new value;</w:t>
      </w:r>
    </w:p>
    <w:p>
      <w:pPr>
        <w:pStyle w:val="ListParagraph"/>
      </w:pPr>
      <w:r>
        <w:t xml:space="preserve">• reason for revision;</w:t>
      </w:r>
    </w:p>
    <w:p>
      <w:pPr>
        <w:pStyle w:val="ListParagraph"/>
      </w:pPr>
      <w:r>
        <w:t xml:space="preserve">• affected dates and networks;</w:t>
      </w:r>
    </w:p>
    <w:p>
      <w:pPr>
        <w:pStyle w:val="ListParagraph"/>
      </w:pPr>
      <w:r>
        <w:t xml:space="preserve">• source or adapter version;</w:t>
      </w:r>
    </w:p>
    <w:p>
      <w:pPr>
        <w:pStyle w:val="ListParagraph"/>
      </w:pPr>
      <w:r>
        <w:t xml:space="preserve">• effect on parent indices and headline outputs.</w:t>
      </w:r>
    </w:p>
    <w:p>
      <w:pPr>
        <w:pStyle w:val="Heading2"/>
      </w:pPr>
      <w:r>
        <w:t xml:space="preserve">6.5 Data freshness</w:t>
      </w:r>
    </w:p>
    <w:p>
      <w:pPr>
        <w:pStyle w:val="Normal"/>
      </w:pPr>
      <w:r>
        <w:t xml:space="preserve">Freshness requirements depend on the metric:</w:t>
      </w:r>
    </w:p>
    <w:p>
      <w:pPr>
        <w:pStyle w:val="ListParagraph"/>
      </w:pPr>
      <w:r>
        <w:t xml:space="preserve">• execution, liquidity and activity metrics may update daily or more frequently;</w:t>
      </w:r>
    </w:p>
    <w:p>
      <w:pPr>
        <w:pStyle w:val="ListParagraph"/>
      </w:pPr>
      <w:r>
        <w:t xml:space="preserve">• developer and governance metrics may update weekly;</w:t>
      </w:r>
    </w:p>
    <w:p>
      <w:pPr>
        <w:pStyle w:val="ListParagraph"/>
      </w:pPr>
      <w:r>
        <w:t xml:space="preserve">• security and decentralisation classifications may update after material events;</w:t>
      </w:r>
    </w:p>
    <w:p>
      <w:pPr>
        <w:pStyle w:val="ListParagraph"/>
      </w:pPr>
      <w:r>
        <w:t xml:space="preserve">• resilience metrics require longer windows and may update monthly;</w:t>
      </w:r>
    </w:p>
    <w:p>
      <w:pPr>
        <w:pStyle w:val="ListParagraph"/>
      </w:pPr>
      <w:r>
        <w:t xml:space="preserve">• market-recognition inputs may update daily but use smoothing to avoid noise.</w:t>
      </w:r>
    </w:p>
    <w:p>
      <w:pPr>
        <w:pStyle w:val="Normal"/>
      </w:pPr>
      <w:r>
        <w:t xml:space="preserve">VCS penalises stale data according to a metric-specific service-level objective.</w:t>
      </w:r>
    </w:p>
    <w:p>
      <w:pPr>
        <w:pStyle w:val="Heading2"/>
      </w:pPr>
      <w:r>
        <w:t xml:space="preserve">6.6 Data exclusions</w:t>
      </w:r>
    </w:p>
    <w:p>
      <w:pPr>
        <w:pStyle w:val="Normal"/>
      </w:pPr>
      <w:r>
        <w:t xml:space="preserve">The framework excludes data that cannot be reconciled with the canonical definition. Examples include unlabelled internal transfers counted as economic settlement, circular self-trading, duplicated TVL, bridged assets counted on both origin and destination without clear scope, and nominal revenue that is entirely offset by token incentives.</w:t>
      </w:r>
    </w:p>
    <w:p>
      <w:pPr>
        <w:pStyle w:val="Normal"/>
      </w:pPr>
      <w:r>
        <w:t xml:space="preserve">Exclusions must be rule-based and published. Analysts cannot remove inconvenient observations selectively.</w:t>
      </w:r>
    </w:p>
    <w:p>
      <w:pPr>
        <w:pStyle w:val="Heading2"/>
      </w:pPr>
      <w:r>
        <w:t xml:space="preserve">6.7 Preservation requirement</w:t>
      </w:r>
    </w:p>
    <w:p>
      <w:pPr>
        <w:pStyle w:val="Normal"/>
      </w:pPr>
      <w:r>
        <w:t xml:space="preserve">Provenance metadata is necessary but not sufficient when the source material is required to reproduce a result. Edition 3.2 requires preservation of the authoritative evidence, or of an independently verified replacement representation that is semantically equivalent and sufficient for the required reproduction. A hash can verify bytes that are independently held; a hash alone cannot reproduce missing evidence.</w:t>
      </w:r>
    </w:p>
    <w:p>
      <w:pPr>
        <w:pStyle w:val="Normal"/>
      </w:pPr>
      <w:r>
        <w:t xml:space="preserve">For blockchain-derived observations, preserved evidence should identify the network and the applicable block, slot, transaction, log, state, account or other canonical coordinate. For external evidence, the equivalent requirement is the authoritative dataset, document, API result or source range together with retrieval time, query or method, version and provenance. Not every legitimate Voxonomics input is literally on-chain, but every canonical input must remain traceable to its authoritative source evidence.</w:t>
      </w:r>
    </w:p>
    <w:p>
      <w:pPr>
        <w:pStyle w:val="Heading1"/>
        <w:pageBreakBefore/>
      </w:pPr>
      <w:r>
        <w:t xml:space="preserve">7. Universal Definitions and Chain-Specific Adapters</w:t>
      </w:r>
    </w:p>
    <w:p>
      <w:pPr>
        <w:pStyle w:val="Heading2"/>
      </w:pPr>
      <w:r>
        <w:t xml:space="preserve">7.1 The universality principle</w:t>
      </w:r>
    </w:p>
    <w:p>
      <w:pPr>
        <w:pStyle w:val="Normal"/>
      </w:pPr>
      <w:r>
        <w:t xml:space="preserve">Universality applies to economic meaning, not identical database fields. Each canonical submetric contains:</w:t>
      </w:r>
    </w:p>
    <w:p>
      <w:pPr>
        <w:pStyle w:val="ListParagraph"/>
      </w:pPr>
      <w:r>
        <w:t xml:space="preserve">• an economic definition;</w:t>
      </w:r>
    </w:p>
    <w:p>
      <w:pPr>
        <w:pStyle w:val="ListParagraph"/>
      </w:pPr>
      <w:r>
        <w:t xml:space="preserve">• inclusion and exclusion rules;</w:t>
      </w:r>
    </w:p>
    <w:p>
      <w:pPr>
        <w:pStyle w:val="ListParagraph"/>
      </w:pPr>
      <w:r>
        <w:t xml:space="preserve">• a preferred observation method;</w:t>
      </w:r>
    </w:p>
    <w:p>
      <w:pPr>
        <w:pStyle w:val="ListParagraph"/>
      </w:pPr>
      <w:r>
        <w:t xml:space="preserve">• acceptable adapter variants;</w:t>
      </w:r>
    </w:p>
    <w:p>
      <w:pPr>
        <w:pStyle w:val="ListParagraph"/>
      </w:pPr>
      <w:r>
        <w:t xml:space="preserve">• directionality;</w:t>
      </w:r>
    </w:p>
    <w:p>
      <w:pPr>
        <w:pStyle w:val="ListParagraph"/>
      </w:pPr>
      <w:r>
        <w:t xml:space="preserve">• update frequency;</w:t>
      </w:r>
    </w:p>
    <w:p>
      <w:pPr>
        <w:pStyle w:val="ListParagraph"/>
      </w:pPr>
      <w:r>
        <w:t xml:space="preserve">• minimum history;</w:t>
      </w:r>
    </w:p>
    <w:p>
      <w:pPr>
        <w:pStyle w:val="ListParagraph"/>
      </w:pPr>
      <w:r>
        <w:t xml:space="preserve">• confidence requirements.</w:t>
      </w:r>
    </w:p>
    <w:p>
      <w:pPr>
        <w:pStyle w:val="Heading2"/>
      </w:pPr>
      <w:r>
        <w:t xml:space="preserve">7.2 Architecture classes</w:t>
      </w:r>
    </w:p>
    <w:p>
      <w:pPr>
        <w:pStyle w:val="Normal"/>
      </w:pPr>
      <w:r>
        <w:t xml:space="preserve">Adapters may classify networks by architecture for implementation purposes:</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Architecture</w:t>
            </w:r>
          </w:p>
        </w:tc>
        <w:tc>
          <w:tcPr>
            <w:tcW w:w="4550" w:type="dxa"/>
          </w:tcPr>
          <w:p>
            <w:pPr>
              <w:pStyle w:val="TableHeader"/>
            </w:pPr>
            <w:r>
              <w:t xml:space="preserve">Typical evidence</w:t>
            </w:r>
          </w:p>
        </w:tc>
      </w:tr>
      <w:tr>
        <w:trPr>
          <w:cantSplit/>
        </w:trPr>
        <w:tc>
          <w:tcPr>
            <w:tcW w:w="4550" w:type="dxa"/>
          </w:tcPr>
          <w:p>
            <w:pPr>
              <w:pStyle w:val="TableText"/>
            </w:pPr>
            <w:r>
              <w:t xml:space="preserve">Proof-of-work base layer</w:t>
            </w:r>
          </w:p>
        </w:tc>
        <w:tc>
          <w:tcPr>
            <w:tcW w:w="4550" w:type="dxa"/>
          </w:tcPr>
          <w:p>
            <w:pPr>
              <w:pStyle w:val="TableText"/>
            </w:pPr>
            <w:r>
              <w:t xml:space="preserve">Blocks, hash power or work proxies, mining-pool distribution, node history, fees and settlement</w:t>
            </w:r>
          </w:p>
        </w:tc>
      </w:tr>
      <w:tr>
        <w:trPr>
          <w:cantSplit/>
        </w:trPr>
        <w:tc>
          <w:tcPr>
            <w:tcW w:w="4550" w:type="dxa"/>
          </w:tcPr>
          <w:p>
            <w:pPr>
              <w:pStyle w:val="TableText"/>
            </w:pPr>
            <w:r>
              <w:t xml:space="preserve">Proof-of-stake base layer</w:t>
            </w:r>
          </w:p>
        </w:tc>
        <w:tc>
          <w:tcPr>
            <w:tcW w:w="4550" w:type="dxa"/>
          </w:tcPr>
          <w:p>
            <w:pPr>
              <w:pStyle w:val="TableText"/>
            </w:pPr>
            <w:r>
              <w:t xml:space="preserve">Validator set, stake distribution, delegation, slashing, finality, governance and fees</w:t>
            </w:r>
          </w:p>
        </w:tc>
      </w:tr>
      <w:tr>
        <w:trPr>
          <w:cantSplit/>
        </w:trPr>
        <w:tc>
          <w:tcPr>
            <w:tcW w:w="4550" w:type="dxa"/>
          </w:tcPr>
          <w:p>
            <w:pPr>
              <w:pStyle w:val="TableText"/>
            </w:pPr>
            <w:r>
              <w:t xml:space="preserve">Rollup or layer two</w:t>
            </w:r>
          </w:p>
        </w:tc>
        <w:tc>
          <w:tcPr>
            <w:tcW w:w="4550" w:type="dxa"/>
          </w:tcPr>
          <w:p>
            <w:pPr>
              <w:pStyle w:val="TableText"/>
            </w:pPr>
            <w:r>
              <w:t xml:space="preserve">Sequencer operation, proof system, bridge contracts, forced inclusion or escape path, inherited settlement security</w:t>
            </w:r>
          </w:p>
        </w:tc>
      </w:tr>
      <w:tr>
        <w:trPr>
          <w:cantSplit/>
        </w:trPr>
        <w:tc>
          <w:tcPr>
            <w:tcW w:w="4550" w:type="dxa"/>
          </w:tcPr>
          <w:p>
            <w:pPr>
              <w:pStyle w:val="TableText"/>
            </w:pPr>
            <w:r>
              <w:t xml:space="preserve">Application chain</w:t>
            </w:r>
          </w:p>
        </w:tc>
        <w:tc>
          <w:tcPr>
            <w:tcW w:w="4550" w:type="dxa"/>
          </w:tcPr>
          <w:p>
            <w:pPr>
              <w:pStyle w:val="TableText"/>
            </w:pPr>
            <w:r>
              <w:t xml:space="preserve">Application-specific transactions, validator or sequencer structure, economic output and external settlement</w:t>
            </w:r>
          </w:p>
        </w:tc>
      </w:tr>
      <w:tr>
        <w:trPr>
          <w:cantSplit/>
        </w:trPr>
        <w:tc>
          <w:tcPr>
            <w:tcW w:w="4550" w:type="dxa"/>
          </w:tcPr>
          <w:p>
            <w:pPr>
              <w:pStyle w:val="TableText"/>
            </w:pPr>
            <w:r>
              <w:t xml:space="preserve">Modular component</w:t>
            </w:r>
          </w:p>
        </w:tc>
        <w:tc>
          <w:tcPr>
            <w:tcW w:w="4550" w:type="dxa"/>
          </w:tcPr>
          <w:p>
            <w:pPr>
              <w:pStyle w:val="TableText"/>
            </w:pPr>
            <w:r>
              <w:t xml:space="preserve">Data availability, shared security, settlement or interoperability service usage</w:t>
            </w:r>
          </w:p>
        </w:tc>
      </w:tr>
    </w:tbl>
    <w:p>
      <w:pPr>
        <w:pStyle w:val="Normal"/>
      </w:pPr>
      <w:r>
        <w:t xml:space="preserve">Classification affects extraction, not the six-index weights.</w:t>
      </w:r>
    </w:p>
    <w:p>
      <w:pPr>
        <w:pStyle w:val="Heading2"/>
      </w:pPr>
      <w:r>
        <w:t xml:space="preserve">7.3 Canonical network scope</w:t>
      </w:r>
    </w:p>
    <w:p>
      <w:pPr>
        <w:pStyle w:val="Normal"/>
      </w:pPr>
      <w:r>
        <w:t xml:space="preserve">A common source of double counting is unclear scope. Voxonomics defines one canonical measurement object for each publication:</w:t>
      </w:r>
    </w:p>
    <w:p>
      <w:pPr>
        <w:pStyle w:val="ListParagraph"/>
      </w:pPr>
      <w:r>
        <w:t xml:space="preserve">• a base layer excludes activity that occurs entirely on an independent execution layer unless it settles economically back to the base layer under a defined rule;</w:t>
      </w:r>
    </w:p>
    <w:p>
      <w:pPr>
        <w:pStyle w:val="ListParagraph"/>
      </w:pPr>
      <w:r>
        <w:t xml:space="preserve">• a rollup includes its own execution activity but discloses inherited security and settlement dependencies;</w:t>
      </w:r>
    </w:p>
    <w:p>
      <w:pPr>
        <w:pStyle w:val="ListParagraph"/>
      </w:pPr>
      <w:r>
        <w:t xml:space="preserve">• an ecosystem aggregation may be published separately, but cannot be compared with a single chain without an explicit scope label;</w:t>
      </w:r>
    </w:p>
    <w:p>
      <w:pPr>
        <w:pStyle w:val="ListParagraph"/>
      </w:pPr>
      <w:r>
        <w:t xml:space="preserve">• wrapped or bridged representations are attributed according to the metric definition and may not be counted twice.</w:t>
      </w:r>
    </w:p>
    <w:p>
      <w:pPr>
        <w:pStyle w:val="Heading2"/>
      </w:pPr>
      <w:r>
        <w:t xml:space="preserve">7.4 Adapter certification states</w:t>
      </w:r>
    </w:p>
    <w:p>
      <w:pPr>
        <w:pStyle w:val="Normal"/>
      </w:pPr>
      <w:r>
        <w:t xml:space="preserve">Adapters progress through four states:</w:t>
      </w:r>
    </w:p>
    <w:p>
      <w:pPr>
        <w:pStyle w:val="ListParagraph"/>
      </w:pPr>
      <w:r>
        <w:t xml:space="preserve">• Experimental — incomplete tests or limited history.</w:t>
      </w:r>
    </w:p>
    <w:p>
      <w:pPr>
        <w:pStyle w:val="ListParagraph"/>
      </w:pPr>
      <w:r>
        <w:t xml:space="preserve">• Provisional — core metrics implemented; open review and reconciliation active.</w:t>
      </w:r>
    </w:p>
    <w:p>
      <w:pPr>
        <w:pStyle w:val="ListParagraph"/>
      </w:pPr>
      <w:r>
        <w:t xml:space="preserve">• Certified — full tests, reproducibility, coverage and governance approval.</w:t>
      </w:r>
    </w:p>
    <w:p>
      <w:pPr>
        <w:pStyle w:val="ListParagraph"/>
      </w:pPr>
      <w:r>
        <w:t xml:space="preserve">• Suspended — material defect, stale dependency or unresolved dispute.</w:t>
      </w:r>
    </w:p>
    <w:p>
      <w:pPr>
        <w:pStyle w:val="Normal"/>
      </w:pPr>
      <w:r>
        <w:t xml:space="preserve">A network may have an experimental public estimate without an official VTS.</w:t>
      </w:r>
    </w:p>
    <w:p>
      <w:pPr>
        <w:pStyle w:val="Heading2"/>
      </w:pPr>
      <w:r>
        <w:t xml:space="preserve">7.5 Adapter equivalence tests</w:t>
      </w:r>
    </w:p>
    <w:p>
      <w:pPr>
        <w:pStyle w:val="Normal"/>
      </w:pPr>
      <w:r>
        <w:t xml:space="preserve">Where multiple adapters implement the same metric, they must be tested against shared fixtures. Equivalence is assessed through:</w:t>
      </w:r>
    </w:p>
    <w:p>
      <w:pPr>
        <w:pStyle w:val="ListParagraph"/>
      </w:pPr>
      <w:r>
        <w:t xml:space="preserve">• exact agreement for deterministic observations;</w:t>
      </w:r>
    </w:p>
    <w:p>
      <w:pPr>
        <w:pStyle w:val="ListParagraph"/>
      </w:pPr>
      <w:r>
        <w:t xml:space="preserve">• tolerance bands for estimated or labelled datasets;</w:t>
      </w:r>
    </w:p>
    <w:p>
      <w:pPr>
        <w:pStyle w:val="ListParagraph"/>
      </w:pPr>
      <w:r>
        <w:t xml:space="preserve">• known-event tests;</w:t>
      </w:r>
    </w:p>
    <w:p>
      <w:pPr>
        <w:pStyle w:val="ListParagraph"/>
      </w:pPr>
      <w:r>
        <w:t xml:space="preserve">• cross-provider reconciliation;</w:t>
      </w:r>
    </w:p>
    <w:p>
      <w:pPr>
        <w:pStyle w:val="ListParagraph"/>
      </w:pPr>
      <w:r>
        <w:t xml:space="preserve">• historical regression tests;</w:t>
      </w:r>
    </w:p>
    <w:p>
      <w:pPr>
        <w:pStyle w:val="ListParagraph"/>
      </w:pPr>
      <w:r>
        <w:t xml:space="preserve">• failure and fallback behaviour.</w:t>
      </w:r>
    </w:p>
    <w:p>
      <w:pPr>
        <w:pStyle w:val="Heading2"/>
      </w:pPr>
      <w:r>
        <w:t xml:space="preserve">7.6 Privacy-preserving networks</w:t>
      </w:r>
    </w:p>
    <w:p>
      <w:pPr>
        <w:pStyle w:val="Normal"/>
      </w:pPr>
      <w:r>
        <w:t xml:space="preserve">A privacy-preserving network may expose less granular evidence by design. Voxonomics does not penalise privacy itself. It distinguishes between:</w:t>
      </w:r>
    </w:p>
    <w:p>
      <w:pPr>
        <w:pStyle w:val="ListParagraph"/>
      </w:pPr>
      <w:r>
        <w:t xml:space="preserve">• verifiable aggregate evidence;</w:t>
      </w:r>
    </w:p>
    <w:p>
      <w:pPr>
        <w:pStyle w:val="ListParagraph"/>
      </w:pPr>
      <w:r>
        <w:t xml:space="preserve">• unavailable evidence;</w:t>
      </w:r>
    </w:p>
    <w:p>
      <w:pPr>
        <w:pStyle w:val="ListParagraph"/>
      </w:pPr>
      <w:r>
        <w:t xml:space="preserve">• evidence that requires trusted disclosure.</w:t>
      </w:r>
    </w:p>
    <w:p>
      <w:pPr>
        <w:pStyle w:val="Normal"/>
      </w:pPr>
      <w:r>
        <w:t xml:space="preserve">Zero-knowledge proofs, auditable aggregate commitments and transparent supply proofs may support high confidence without exposing individual users. When economic activity cannot be verified at all, confidence and relevant index coverage decline.</w:t>
      </w:r>
    </w:p>
    <w:p>
      <w:pPr>
        <w:pStyle w:val="Heading1"/>
        <w:pageBreakBefore/>
      </w:pPr>
      <w:r>
        <w:t xml:space="preserve">8. Normalisation, Directionality and Smoothing</w:t>
      </w:r>
    </w:p>
    <w:p>
      <w:pPr>
        <w:pStyle w:val="Heading2"/>
      </w:pPr>
      <w:r>
        <w:t xml:space="preserve">8.1 Why simple min-max normalisation is insufficient</w:t>
      </w:r>
    </w:p>
    <w:p>
      <w:pPr>
        <w:pStyle w:val="Normal"/>
      </w:pPr>
      <w:r>
        <w:t xml:space="preserve">Ordinary min-max normalisation is highly sensitive to outliers, changing network populations and temporary extremes. If one network reports an anomalous value, every other score can move even though their own performance did not change. It also makes historical comparisons unstable when the minimum or maximum changes.</w:t>
      </w:r>
    </w:p>
    <w:p>
      <w:pPr>
        <w:pStyle w:val="Normal"/>
      </w:pPr>
      <w:r>
        <w:t xml:space="preserve">Voxonomics therefore uses versioned robust benchmarks rather than unconstrained live minimum and maximum values.</w:t>
      </w:r>
    </w:p>
    <w:p>
      <w:pPr>
        <w:pStyle w:val="Heading2"/>
      </w:pPr>
      <w:r>
        <w:t xml:space="preserve">8.2 Transformation pipeline</w:t>
      </w:r>
    </w:p>
    <w:p>
      <w:pPr>
        <w:pStyle w:val="Normal"/>
      </w:pPr>
      <w:r>
        <w:t xml:space="preserve">For raw observation x, the canonical pipeline is:</w:t>
      </w:r>
    </w:p>
    <w:p>
      <w:pPr>
        <w:pStyle w:val="ListParagraph"/>
      </w:pPr>
      <w:r>
        <w:t xml:space="preserve">• validate units and scope;</w:t>
      </w:r>
    </w:p>
    <w:p>
      <w:pPr>
        <w:pStyle w:val="ListParagraph"/>
      </w:pPr>
      <w:r>
        <w:t xml:space="preserve">• apply an economic transformation T(x), such as logarithmic scaling or per-user adjustment;</w:t>
      </w:r>
    </w:p>
    <w:p>
      <w:pPr>
        <w:pStyle w:val="ListParagraph"/>
      </w:pPr>
      <w:r>
        <w:t xml:space="preserve">• apply directionality;</w:t>
      </w:r>
    </w:p>
    <w:p>
      <w:pPr>
        <w:pStyle w:val="ListParagraph"/>
      </w:pPr>
      <w:r>
        <w:t xml:space="preserve">• compare with a benchmark distribution;</w:t>
      </w:r>
    </w:p>
    <w:p>
      <w:pPr>
        <w:pStyle w:val="ListParagraph"/>
      </w:pPr>
      <w:r>
        <w:t xml:space="preserve">• cap extreme percentiles;</w:t>
      </w:r>
    </w:p>
    <w:p>
      <w:pPr>
        <w:pStyle w:val="ListParagraph"/>
      </w:pPr>
      <w:r>
        <w:t xml:space="preserve">• map to a 0–100 score;</w:t>
      </w:r>
    </w:p>
    <w:p>
      <w:pPr>
        <w:pStyle w:val="ListParagraph"/>
      </w:pPr>
      <w:r>
        <w:t xml:space="preserve">• smooth across the approved time window.</w:t>
      </w:r>
    </w:p>
    <w:p>
      <w:pPr>
        <w:pStyle w:val="Heading2"/>
      </w:pPr>
      <w:r>
        <w:t xml:space="preserve">8.3 Positive-direction metrics</w:t>
      </w:r>
    </w:p>
    <w:p>
      <w:pPr>
        <w:pStyle w:val="Normal"/>
      </w:pPr>
      <w:r>
        <w:t xml:space="preserve">For a positive-direction metric, higher transformed values indicate stronger performance. Using lower and upper benchmark anchors L and U:</w:t>
      </w:r>
    </w:p>
    <w:p>
      <w:pPr>
        <w:jc w:val="center"/>
      </w:pPr>
      <w:r>
        <w:drawing>
          <wp:inline distT="0" distB="0" distL="0" distR="0">
            <wp:extent cx="5638800" cy="746973"/>
            <wp:docPr id="5" name="Figure 5" descr="Specification figure or equation in 8. Normalisation, Directionality and Smoothing; original available in the DOCX"/>
            <a:graphic>
              <a:graphicData uri="http://schemas.openxmlformats.org/drawingml/2006/picture">
                <pic:pic>
                  <pic:nvPicPr>
                    <pic:cNvPr id="0" name="image5.png"/>
                    <pic:cNvPicPr/>
                  </pic:nvPicPr>
                  <pic:blipFill>
                    <a:blip r:embed="rId7"/>
                    <a:stretch>
                      <a:fillRect/>
                    </a:stretch>
                  </pic:blipFill>
                  <pic:spPr>
                    <a:xfrm>
                      <a:off x="0" y="0"/>
                      <a:ext cx="5638800" cy="746973"/>
                    </a:xfrm>
                    <a:prstGeom prst="rect">
                      <a:avLst/>
                    </a:prstGeom>
                  </pic:spPr>
                </pic:pic>
              </a:graphicData>
            </a:graphic>
          </wp:inline>
        </w:drawing>
      </w:r>
    </w:p>
    <w:p>
      <w:pPr>
        <w:pStyle w:val="Heading2"/>
      </w:pPr>
      <w:r>
        <w:t xml:space="preserve">8.4 Negative-direction metrics</w:t>
      </w:r>
    </w:p>
    <w:p>
      <w:pPr>
        <w:pStyle w:val="Normal"/>
      </w:pPr>
      <w:r>
        <w:t xml:space="preserve">For negative-direction metrics such as slippage, outage time or concentration, lower values are better:</w:t>
      </w:r>
    </w:p>
    <w:p>
      <w:pPr>
        <w:jc w:val="center"/>
      </w:pPr>
      <w:r>
        <w:drawing>
          <wp:inline distT="0" distB="0" distL="0" distR="0">
            <wp:extent cx="5638800" cy="657941"/>
            <wp:docPr id="6" name="Figure 6" descr="Specification figure or equation in 8. Normalisation, Directionality and Smoothing; original available in the DOCX"/>
            <a:graphic>
              <a:graphicData uri="http://schemas.openxmlformats.org/drawingml/2006/picture">
                <pic:pic>
                  <pic:nvPicPr>
                    <pic:cNvPr id="0" name="image6.png"/>
                    <pic:cNvPicPr/>
                  </pic:nvPicPr>
                  <pic:blipFill>
                    <a:blip r:embed="rId8"/>
                    <a:stretch>
                      <a:fillRect/>
                    </a:stretch>
                  </pic:blipFill>
                  <pic:spPr>
                    <a:xfrm>
                      <a:off x="0" y="0"/>
                      <a:ext cx="5638800" cy="657941"/>
                    </a:xfrm>
                    <a:prstGeom prst="rect">
                      <a:avLst/>
                    </a:prstGeom>
                  </pic:spPr>
                </pic:pic>
              </a:graphicData>
            </a:graphic>
          </wp:inline>
        </w:drawing>
      </w:r>
    </w:p>
    <w:p>
      <w:pPr>
        <w:pStyle w:val="Heading2"/>
      </w:pPr>
      <w:r>
        <w:t xml:space="preserve">8.5 Bounded-optimum metrics</w:t>
      </w:r>
    </w:p>
    <w:p>
      <w:pPr>
        <w:pStyle w:val="Normal"/>
      </w:pPr>
      <w:r>
        <w:t xml:space="preserve">Some variables are not monotonically better. Extremely low fees may indicate insufficient security revenue; extremely high fees may make the network unusable. A bounded-optimum metric uses a target range or piecewise function approved in the metric registry.</w:t>
      </w:r>
    </w:p>
    <w:p>
      <w:pPr>
        <w:pStyle w:val="Normal"/>
      </w:pPr>
      <w:r>
        <w:t xml:space="preserve">One form is:</w:t>
      </w:r>
    </w:p>
    <w:p>
      <w:pPr>
        <w:jc w:val="center"/>
      </w:pPr>
      <w:r>
        <w:drawing>
          <wp:inline distT="0" distB="0" distL="0" distR="0">
            <wp:extent cx="5638800" cy="899191"/>
            <wp:docPr id="7" name="Figure 7" descr="Specification figure or equation in 8. Normalisation, Directionality and Smoothing; original available in the DOCX"/>
            <a:graphic>
              <a:graphicData uri="http://schemas.openxmlformats.org/drawingml/2006/picture">
                <pic:pic>
                  <pic:nvPicPr>
                    <pic:cNvPr id="0" name="image7.png"/>
                    <pic:cNvPicPr/>
                  </pic:nvPicPr>
                  <pic:blipFill>
                    <a:blip r:embed="rId9"/>
                    <a:stretch>
                      <a:fillRect/>
                    </a:stretch>
                  </pic:blipFill>
                  <pic:spPr>
                    <a:xfrm>
                      <a:off x="0" y="0"/>
                      <a:ext cx="5638800" cy="899191"/>
                    </a:xfrm>
                    <a:prstGeom prst="rect">
                      <a:avLst/>
                    </a:prstGeom>
                  </pic:spPr>
                </pic:pic>
              </a:graphicData>
            </a:graphic>
          </wp:inline>
        </w:drawing>
      </w:r>
    </w:p>
    <w:p>
      <w:pPr>
        <w:pStyle w:val="Normal"/>
      </w:pPr>
      <w:r>
        <w:t xml:space="preserve">where μ represents the evidence-based optimum and σ controls tolerance. Bounded-optimum functions require stronger governance evidence because they embed more model judgement.</w:t>
      </w:r>
    </w:p>
    <w:p>
      <w:pPr>
        <w:pStyle w:val="Heading2"/>
      </w:pPr>
      <w:r>
        <w:t xml:space="preserve">8.6 Logarithmic and ratio transformations</w:t>
      </w:r>
    </w:p>
    <w:p>
      <w:pPr>
        <w:pStyle w:val="Normal"/>
      </w:pPr>
      <w:r>
        <w:t xml:space="preserve">Metrics spanning several orders of magnitude commonly use:</w:t>
      </w:r>
    </w:p>
    <w:p>
      <w:pPr>
        <w:jc w:val="center"/>
      </w:pPr>
      <w:r>
        <w:drawing>
          <wp:inline distT="0" distB="0" distL="0" distR="0">
            <wp:extent cx="5638800" cy="1034538"/>
            <wp:docPr id="8" name="Figure 8" descr="Specification figure or equation in 8. Normalisation, Directionality and Smoothing; original available in the DOCX"/>
            <a:graphic>
              <a:graphicData uri="http://schemas.openxmlformats.org/drawingml/2006/picture">
                <pic:pic>
                  <pic:nvPicPr>
                    <pic:cNvPr id="0" name="image8.png"/>
                    <pic:cNvPicPr/>
                  </pic:nvPicPr>
                  <pic:blipFill>
                    <a:blip r:embed="rId10"/>
                    <a:stretch>
                      <a:fillRect/>
                    </a:stretch>
                  </pic:blipFill>
                  <pic:spPr>
                    <a:xfrm>
                      <a:off x="0" y="0"/>
                      <a:ext cx="5638800" cy="1034538"/>
                    </a:xfrm>
                    <a:prstGeom prst="rect">
                      <a:avLst/>
                    </a:prstGeom>
                  </pic:spPr>
                </pic:pic>
              </a:graphicData>
            </a:graphic>
          </wp:inline>
        </w:drawing>
      </w:r>
    </w:p>
    <w:p>
      <w:pPr>
        <w:pStyle w:val="Normal"/>
      </w:pPr>
      <w:r>
        <w:t xml:space="preserve">Scale-sensitive metrics may also be expressed as ratios, including revenue per active user, liquidity relative to market value, or security budget relative to settled value. Ratios are used only when numerator and denominator are economically compatible.</w:t>
      </w:r>
    </w:p>
    <w:p>
      <w:pPr>
        <w:pStyle w:val="Heading2"/>
      </w:pPr>
      <w:r>
        <w:t xml:space="preserve">8.7 Benchmark anchors</w:t>
      </w:r>
    </w:p>
    <w:p>
      <w:pPr>
        <w:pStyle w:val="Normal"/>
      </w:pPr>
      <w:r>
        <w:t xml:space="preserve">Benchmark anchors are fixed for a methodology version and recalibrated only through governance. They may be based on:</w:t>
      </w:r>
    </w:p>
    <w:p>
      <w:pPr>
        <w:pStyle w:val="ListParagraph"/>
      </w:pPr>
      <w:r>
        <w:t xml:space="preserve">• long historical distributions;</w:t>
      </w:r>
    </w:p>
    <w:p>
      <w:pPr>
        <w:pStyle w:val="ListParagraph"/>
      </w:pPr>
      <w:r>
        <w:t xml:space="preserve">• winsorised cross-network percentiles;</w:t>
      </w:r>
    </w:p>
    <w:p>
      <w:pPr>
        <w:pStyle w:val="ListParagraph"/>
      </w:pPr>
      <w:r>
        <w:t xml:space="preserve">• economic thresholds;</w:t>
      </w:r>
    </w:p>
    <w:p>
      <w:pPr>
        <w:pStyle w:val="ListParagraph"/>
      </w:pPr>
      <w:r>
        <w:t xml:space="preserve">• stress-tested target ranges;</w:t>
      </w:r>
    </w:p>
    <w:p>
      <w:pPr>
        <w:pStyle w:val="ListParagraph"/>
      </w:pPr>
      <w:r>
        <w:t xml:space="preserve">• architecture-aware but economically equivalent reference sets.</w:t>
      </w:r>
    </w:p>
    <w:p>
      <w:pPr>
        <w:pStyle w:val="Normal"/>
      </w:pPr>
      <w:r>
        <w:t xml:space="preserve">Every recalibration requires an impact simulation and a versioned historical series.</w:t>
      </w:r>
    </w:p>
    <w:p>
      <w:pPr>
        <w:pStyle w:val="Heading2"/>
      </w:pPr>
      <w:r>
        <w:t xml:space="preserve">8.8 Smoothing</w:t>
      </w:r>
    </w:p>
    <w:p>
      <w:pPr>
        <w:pStyle w:val="Normal"/>
      </w:pPr>
      <w:r>
        <w:t xml:space="preserve">Voxonomics separates observation windows from smoothing windows. A daily observation may feed a 30-day exponentially weighted moving average:</w:t>
      </w:r>
    </w:p>
    <w:p>
      <w:pPr>
        <w:jc w:val="center"/>
      </w:pPr>
      <w:r>
        <w:drawing>
          <wp:inline distT="0" distB="0" distL="0" distR="0">
            <wp:extent cx="5638800" cy="740801"/>
            <wp:docPr id="9" name="Figure 9" descr="Specification figure or equation in 8. Normalisation, Directionality and Smoothing; original available in the DOCX"/>
            <a:graphic>
              <a:graphicData uri="http://schemas.openxmlformats.org/drawingml/2006/picture">
                <pic:pic>
                  <pic:nvPicPr>
                    <pic:cNvPr id="0" name="image9.png"/>
                    <pic:cNvPicPr/>
                  </pic:nvPicPr>
                  <pic:blipFill>
                    <a:blip r:embed="rId11"/>
                    <a:stretch>
                      <a:fillRect/>
                    </a:stretch>
                  </pic:blipFill>
                  <pic:spPr>
                    <a:xfrm>
                      <a:off x="0" y="0"/>
                      <a:ext cx="5638800" cy="740801"/>
                    </a:xfrm>
                    <a:prstGeom prst="rect">
                      <a:avLst/>
                    </a:prstGeom>
                  </pic:spPr>
                </pic:pic>
              </a:graphicData>
            </a:graphic>
          </wp:inline>
        </w:drawing>
      </w:r>
    </w:p>
    <w:p>
      <w:pPr>
        <w:pStyle w:val="Normal"/>
      </w:pPr>
      <w:r>
        <w:t xml:space="preserve">with:</w:t>
      </w:r>
    </w:p>
    <w:p>
      <w:pPr>
        <w:jc w:val="center"/>
      </w:pPr>
      <w:r>
        <w:drawing>
          <wp:inline distT="0" distB="0" distL="0" distR="0">
            <wp:extent cx="5638800" cy="3121479"/>
            <wp:docPr id="10" name="Figure 10" descr="Specification figure or equation in 8. Normalisation, Directionality and Smoothing; original available in the DOCX"/>
            <a:graphic>
              <a:graphicData uri="http://schemas.openxmlformats.org/drawingml/2006/picture">
                <pic:pic>
                  <pic:nvPicPr>
                    <pic:cNvPr id="0" name="image10.png"/>
                    <pic:cNvPicPr/>
                  </pic:nvPicPr>
                  <pic:blipFill>
                    <a:blip r:embed="rId12"/>
                    <a:stretch>
                      <a:fillRect/>
                    </a:stretch>
                  </pic:blipFill>
                  <pic:spPr>
                    <a:xfrm>
                      <a:off x="0" y="0"/>
                      <a:ext cx="5638800" cy="3121479"/>
                    </a:xfrm>
                    <a:prstGeom prst="rect">
                      <a:avLst/>
                    </a:prstGeom>
                  </pic:spPr>
                </pic:pic>
              </a:graphicData>
            </a:graphic>
          </wp:inline>
        </w:drawing>
      </w:r>
    </w:p>
    <w:p>
      <w:pPr>
        <w:pStyle w:val="Normal"/>
      </w:pPr>
      <w:r>
        <w:t xml:space="preserve">where n is the approved effective window. Fast-moving liquidity and incident metrics may use shorter response windows; adoption and resilience use longer windows. The metric registry defines the window for each submetric.</w:t>
      </w:r>
    </w:p>
    <w:p>
      <w:pPr>
        <w:pStyle w:val="Heading2"/>
      </w:pPr>
      <w:r>
        <w:t xml:space="preserve">8.9 Persistence and anti-spike controls</w:t>
      </w:r>
    </w:p>
    <w:p>
      <w:pPr>
        <w:pStyle w:val="Normal"/>
      </w:pPr>
      <w:r>
        <w:t xml:space="preserve">A score increase may require persistence before full recognition. Controls include:</w:t>
      </w:r>
    </w:p>
    <w:p>
      <w:pPr>
        <w:pStyle w:val="ListParagraph"/>
      </w:pPr>
      <w:r>
        <w:t xml:space="preserve">• minimum duration above a threshold;</w:t>
      </w:r>
    </w:p>
    <w:p>
      <w:pPr>
        <w:pStyle w:val="ListParagraph"/>
      </w:pPr>
      <w:r>
        <w:t xml:space="preserve">• rolling median confirmation;</w:t>
      </w:r>
    </w:p>
    <w:p>
      <w:pPr>
        <w:pStyle w:val="ListParagraph"/>
      </w:pPr>
      <w:r>
        <w:t xml:space="preserve">• exclusion of self-transfers and known incentive loops;</w:t>
      </w:r>
    </w:p>
    <w:p>
      <w:pPr>
        <w:pStyle w:val="ListParagraph"/>
      </w:pPr>
      <w:r>
        <w:t xml:space="preserve">• anomaly flags based on historical variance;</w:t>
      </w:r>
    </w:p>
    <w:p>
      <w:pPr>
        <w:pStyle w:val="ListParagraph"/>
      </w:pPr>
      <w:r>
        <w:t xml:space="preserve">• cap on maximum daily score change;</w:t>
      </w:r>
    </w:p>
    <w:p>
      <w:pPr>
        <w:pStyle w:val="ListParagraph"/>
      </w:pPr>
      <w:r>
        <w:t xml:space="preserve">• delayed inclusion of newly deployed assets or applications.</w:t>
      </w:r>
    </w:p>
    <w:p>
      <w:pPr>
        <w:pStyle w:val="Normal"/>
      </w:pPr>
      <w:r>
        <w:t xml:space="preserve">Controls must not hide genuine deterioration. Security incidents and outages may reduce scores immediately where delay would misrepresent risk.</w:t>
      </w:r>
    </w:p>
    <w:p>
      <w:pPr>
        <w:pStyle w:val="Heading2"/>
      </w:pPr>
      <w:r>
        <w:t xml:space="preserve">8.10 Correlated submetrics</w:t>
      </w:r>
    </w:p>
    <w:p>
      <w:pPr>
        <w:pStyle w:val="Normal"/>
      </w:pPr>
      <w:r>
        <w:t xml:space="preserve">Submetrics that measure the same underlying activity can create hidden overweighting. Before approval, the DAO reviews pairwise and multivariate correlation, causal overlap and common-source dependence. Highly redundant measures are combined, down-weighted inside the parent index or used as validation rather than separate contributions.</w:t>
      </w:r>
    </w:p>
    <w:p>
      <w:pPr>
        <w:pStyle w:val="Heading1"/>
        <w:pageBreakBefore/>
      </w:pPr>
      <w:r>
        <w:t xml:space="preserve">9. Economic Reference Unit</w:t>
      </w:r>
    </w:p>
    <w:p>
      <w:pPr>
        <w:pStyle w:val="Heading2"/>
      </w:pPr>
      <w:r>
        <w:t xml:space="preserve">9.1 Purpose</w:t>
      </w:r>
    </w:p>
    <w:p>
      <w:pPr>
        <w:pStyle w:val="Normal"/>
      </w:pPr>
      <w:r>
        <w:t xml:space="preserve">A raw composite between 0 and 1 is easy to calculate but difficult to interpret through time. If industry capability improves, a fixed score may not show whether a network is keeping pace with the strongest credible systems. The Economic Reference Unit provides a moving but controlled benchmark.</w:t>
      </w:r>
    </w:p>
    <w:p>
      <w:pPr>
        <w:pStyle w:val="Normal"/>
      </w:pPr>
      <w:r>
        <w:t xml:space="preserve">The ERU is not a currency peg and does not represent one dollar, one euro or a commodity quantity. It is a standardised unit of measured blockchain economic performance.</w:t>
      </w:r>
    </w:p>
    <w:p>
      <w:pPr>
        <w:pStyle w:val="Heading2"/>
      </w:pPr>
      <w:r>
        <w:t xml:space="preserve">9.2 Core ERU benchmark</w:t>
      </w:r>
    </w:p>
    <w:p>
      <w:pPr>
        <w:pStyle w:val="Normal"/>
      </w:pPr>
      <w:r>
        <w:t xml:space="preserve">For each publication date t, the framework identifies eligible networks that meet all of the following:</w:t>
      </w:r>
    </w:p>
    <w:p>
      <w:pPr>
        <w:pStyle w:val="ListParagraph"/>
      </w:pPr>
      <w:r>
        <w:t xml:space="preserve">• VCS of at least 70;</w:t>
      </w:r>
    </w:p>
    <w:p>
      <w:pPr>
        <w:pStyle w:val="ListParagraph"/>
      </w:pPr>
      <w:r>
        <w:t xml:space="preserve">• at least 180 days of comparable history;</w:t>
      </w:r>
    </w:p>
    <w:p>
      <w:pPr>
        <w:pStyle w:val="ListParagraph"/>
      </w:pPr>
      <w:r>
        <w:t xml:space="preserve">• official scores for all six parent indices;</w:t>
      </w:r>
    </w:p>
    <w:p>
      <w:pPr>
        <w:pStyle w:val="ListParagraph"/>
      </w:pPr>
      <w:r>
        <w:t xml:space="preserve">• no unresolved critical data dispute;</w:t>
      </w:r>
    </w:p>
    <w:p>
      <w:pPr>
        <w:pStyle w:val="ListParagraph"/>
      </w:pPr>
      <w:r>
        <w:t xml:space="preserve">• a canonical scope that avoids duplicate ecosystem representation.</w:t>
      </w:r>
    </w:p>
    <w:p>
      <w:pPr>
        <w:pStyle w:val="Normal"/>
      </w:pPr>
      <w:r>
        <w:t xml:space="preserve">From the eligible set, let Q_t denote the top-quartile eligible network set. The framework calculates a 90-day time-weighted median:</w:t>
      </w:r>
    </w:p>
    <w:p>
      <w:pPr>
        <w:jc w:val="center"/>
      </w:pPr>
      <w:r>
        <w:drawing>
          <wp:inline distT="0" distB="0" distL="0" distR="0">
            <wp:extent cx="5638800" cy="862605"/>
            <wp:docPr id="11" name="Figure 11" descr="Specification figure or equation in 9. Economic Reference Unit; original available in the DOCX"/>
            <a:graphic>
              <a:graphicData uri="http://schemas.openxmlformats.org/drawingml/2006/picture">
                <pic:pic>
                  <pic:nvPicPr>
                    <pic:cNvPr id="0" name="image11.png"/>
                    <pic:cNvPicPr/>
                  </pic:nvPicPr>
                  <pic:blipFill>
                    <a:blip r:embed="rId13"/>
                    <a:stretch>
                      <a:fillRect/>
                    </a:stretch>
                  </pic:blipFill>
                  <pic:spPr>
                    <a:xfrm>
                      <a:off x="0" y="0"/>
                      <a:ext cx="5638800" cy="862605"/>
                    </a:xfrm>
                    <a:prstGeom prst="rect">
                      <a:avLst/>
                    </a:prstGeom>
                  </pic:spPr>
                </pic:pic>
              </a:graphicData>
            </a:graphic>
          </wp:inline>
        </w:drawing>
      </w:r>
    </w:p>
    <w:p>
      <w:pPr>
        <w:pStyle w:val="Normal"/>
      </w:pPr>
      <w:r>
        <w:t xml:space="preserve">The published reference is defined as:</w:t>
      </w:r>
    </w:p>
    <w:p>
      <w:pPr>
        <w:jc w:val="center"/>
      </w:pPr>
      <w:r>
        <w:drawing>
          <wp:inline distT="0" distB="0" distL="0" distR="0">
            <wp:extent cx="5638800" cy="831796"/>
            <wp:docPr id="12" name="Figure 12" descr="Specification figure or equation in 9. Economic Reference Unit; original available in the DOCX"/>
            <a:graphic>
              <a:graphicData uri="http://schemas.openxmlformats.org/drawingml/2006/picture">
                <pic:pic>
                  <pic:nvPicPr>
                    <pic:cNvPr id="0" name="image12.png"/>
                    <pic:cNvPicPr/>
                  </pic:nvPicPr>
                  <pic:blipFill>
                    <a:blip r:embed="rId14"/>
                    <a:stretch>
                      <a:fillRect/>
                    </a:stretch>
                  </pic:blipFill>
                  <pic:spPr>
                    <a:xfrm>
                      <a:off x="0" y="0"/>
                      <a:ext cx="5638800" cy="831796"/>
                    </a:xfrm>
                    <a:prstGeom prst="rect">
                      <a:avLst/>
                    </a:prstGeom>
                  </pic:spPr>
                </pic:pic>
              </a:graphicData>
            </a:graphic>
          </wp:inline>
        </w:drawing>
      </w:r>
    </w:p>
    <w:p>
      <w:pPr>
        <w:pStyle w:val="Normal"/>
      </w:pPr>
      <w:r>
        <w:t xml:space="preserve">and each network’s standardised score is:</w:t>
      </w:r>
    </w:p>
    <w:p>
      <w:pPr>
        <w:jc w:val="center"/>
      </w:pPr>
      <w:r>
        <w:drawing>
          <wp:inline distT="0" distB="0" distL="0" distR="0">
            <wp:extent cx="5638800" cy="1597303"/>
            <wp:docPr id="13" name="Figure 13" descr="Specification figure or equation in 9. Economic Reference Unit; original available in the DOCX"/>
            <a:graphic>
              <a:graphicData uri="http://schemas.openxmlformats.org/drawingml/2006/picture">
                <pic:pic>
                  <pic:nvPicPr>
                    <pic:cNvPr id="0" name="image13.png"/>
                    <pic:cNvPicPr/>
                  </pic:nvPicPr>
                  <pic:blipFill>
                    <a:blip r:embed="rId15"/>
                    <a:stretch>
                      <a:fillRect/>
                    </a:stretch>
                  </pic:blipFill>
                  <pic:spPr>
                    <a:xfrm>
                      <a:off x="0" y="0"/>
                      <a:ext cx="5638800" cy="1597303"/>
                    </a:xfrm>
                    <a:prstGeom prst="rect">
                      <a:avLst/>
                    </a:prstGeom>
                  </pic:spPr>
                </pic:pic>
              </a:graphicData>
            </a:graphic>
          </wp:inline>
        </w:drawing>
      </w:r>
    </w:p>
    <w:p>
      <w:pPr>
        <w:pStyle w:val="Heading2"/>
      </w:pPr>
      <w:r>
        <w:t xml:space="preserve">9.3 Interpretation</w:t>
      </w:r>
    </w:p>
    <w:p>
      <w:pPr>
        <w:pStyle w:val="ListParagraph"/>
      </w:pPr>
      <w:r>
        <w:t xml:space="preserve">• VTS = 1.000000 — performance equals the current reference benchmark.</w:t>
      </w:r>
    </w:p>
    <w:p>
      <w:pPr>
        <w:pStyle w:val="ListParagraph"/>
      </w:pPr>
      <w:r>
        <w:t xml:space="preserve">• VTS = 0.750000 — performance is 75% of the reference benchmark.</w:t>
      </w:r>
    </w:p>
    <w:p>
      <w:pPr>
        <w:pStyle w:val="ListParagraph"/>
      </w:pPr>
      <w:r>
        <w:t xml:space="preserve">• VTS = 1.150000 — performance is 15% above the reference benchmark.</w:t>
      </w:r>
    </w:p>
    <w:p>
      <w:pPr>
        <w:pStyle w:val="Normal"/>
      </w:pPr>
      <w:r>
        <w:t xml:space="preserve">A score above one is valid. The framework aims for a psychologically clear centre around one, not an artificial ceiling.</w:t>
      </w:r>
    </w:p>
    <w:p>
      <w:pPr>
        <w:pStyle w:val="Heading2"/>
      </w:pPr>
      <w:r>
        <w:t xml:space="preserve">9.4 Benchmark stability</w:t>
      </w:r>
    </w:p>
    <w:p>
      <w:pPr>
        <w:pStyle w:val="Normal"/>
      </w:pPr>
      <w:r>
        <w:t xml:space="preserve">The ERU is smoothed and eligibility-gated to prevent abrupt changes caused by one network or one temporary event. Governance may set maximum daily movement for ERU_core, but cannot conceal large structural deterioration in the eligible set.</w:t>
      </w:r>
    </w:p>
    <w:p>
      <w:pPr>
        <w:pStyle w:val="Heading2"/>
      </w:pPr>
      <w:r>
        <w:t xml:space="preserve">9.5 Survivorship and selection bias</w:t>
      </w:r>
    </w:p>
    <w:p>
      <w:pPr>
        <w:pStyle w:val="Normal"/>
      </w:pPr>
      <w:r>
        <w:t xml:space="preserve">A benchmark based only on current leaders can create survivorship bias. Voxonomics therefore preserves the full eligible set, membership changes and historical benchmark composition. Research outputs may also publish fixed-cohort ERU series for comparison.</w:t>
      </w:r>
    </w:p>
    <w:p>
      <w:pPr>
        <w:pStyle w:val="Heading2"/>
      </w:pPr>
      <w:r>
        <w:t xml:space="preserve">9.6 ERU versioning</w:t>
      </w:r>
    </w:p>
    <w:p>
      <w:pPr>
        <w:pStyle w:val="Normal"/>
      </w:pPr>
      <w:r>
        <w:t xml:space="preserve">Changes to eligibility, quartile selection, smoothing or history requirements create a new ERU methodology version. The current and prior series remain publicly accessible.</w:t>
      </w:r>
    </w:p>
    <w:p>
      <w:pPr>
        <w:pStyle w:val="Normal"/>
      </w:pPr>
      <w:r>
        <w:t xml:space="preserve">Part III — The Six-Index VTS Engine</w:t>
      </w:r>
    </w:p>
    <w:p>
      <w:pPr>
        <w:pStyle w:val="Heading1"/>
        <w:pageBreakBefore/>
      </w:pPr>
      <w:r>
        <w:t xml:space="preserve">10. Value Transfer Score</w:t>
      </w:r>
    </w:p>
    <w:p>
      <w:pPr>
        <w:pStyle w:val="Heading2"/>
      </w:pPr>
      <w:r>
        <w:t xml:space="preserve">10.1 Definition</w:t>
      </w:r>
    </w:p>
    <w:p>
      <w:pPr>
        <w:pStyle w:val="Normal"/>
      </w:pPr>
      <w:r>
        <w:t xml:space="preserve">The Value Transfer Score (VTS) is the central intrinsic measurement of the Voxonomics framework. The name reflects the network’s capacity to create, secure, sustain and transfer economic value across participants and time.</w:t>
      </w:r>
    </w:p>
    <w:p>
      <w:pPr>
        <w:pStyle w:val="Normal"/>
      </w:pPr>
      <w:r>
        <w:t xml:space="preserve">VTS is not a token price, price target or promise of future performance. It is a versioned model output derived from six observable dimensions of network economic quality.</w:t>
      </w:r>
    </w:p>
    <w:p>
      <w:pPr>
        <w:pStyle w:val="Heading2"/>
      </w:pPr>
      <w:r>
        <w:t xml:space="preserve">10.2 Equal-weight formula</w:t>
      </w:r>
    </w:p>
    <w:p>
      <w:pPr>
        <w:pStyle w:val="Normal"/>
      </w:pPr>
      <w:r>
        <w:t xml:space="preserve">Each parent index is scored from 0 to 100:</w:t>
      </w:r>
    </w:p>
    <w:p>
      <w:pPr>
        <w:jc w:val="center"/>
      </w:pPr>
      <w:r>
        <w:drawing>
          <wp:inline distT="0" distB="0" distL="0" distR="0">
            <wp:extent cx="5638800" cy="360471"/>
            <wp:docPr id="14" name="Figure 14" descr="Specification figure or equation in 10. Value Transfer Score; original available in the DOCX"/>
            <a:graphic>
              <a:graphicData uri="http://schemas.openxmlformats.org/drawingml/2006/picture">
                <pic:pic>
                  <pic:nvPicPr>
                    <pic:cNvPr id="0" name="image14.png"/>
                    <pic:cNvPicPr/>
                  </pic:nvPicPr>
                  <pic:blipFill>
                    <a:blip r:embed="rId16"/>
                    <a:stretch>
                      <a:fillRect/>
                    </a:stretch>
                  </pic:blipFill>
                  <pic:spPr>
                    <a:xfrm>
                      <a:off x="0" y="0"/>
                      <a:ext cx="5638800" cy="360471"/>
                    </a:xfrm>
                    <a:prstGeom prst="rect">
                      <a:avLst/>
                    </a:prstGeom>
                  </pic:spPr>
                </pic:pic>
              </a:graphicData>
            </a:graphic>
          </wp:inline>
        </w:drawing>
      </w:r>
    </w:p>
    <w:p>
      <w:pPr>
        <w:pStyle w:val="Normal"/>
      </w:pPr>
      <w:r>
        <w:t xml:space="preserve">The core score is:</w:t>
      </w:r>
    </w:p>
    <w:p>
      <w:pPr>
        <w:jc w:val="center"/>
      </w:pPr>
      <w:r>
        <w:drawing>
          <wp:inline distT="0" distB="0" distL="0" distR="0">
            <wp:extent cx="5638800" cy="640080"/>
            <wp:docPr id="15" name="Figure 15" descr="Specification figure or equation in 10. Value Transfer Score; original available in the DOCX"/>
            <a:graphic>
              <a:graphicData uri="http://schemas.openxmlformats.org/drawingml/2006/picture">
                <pic:pic>
                  <pic:nvPicPr>
                    <pic:cNvPr id="0" name="image15.png"/>
                    <pic:cNvPicPr/>
                  </pic:nvPicPr>
                  <pic:blipFill>
                    <a:blip r:embed="rId17"/>
                    <a:stretch>
                      <a:fillRect/>
                    </a:stretch>
                  </pic:blipFill>
                  <pic:spPr>
                    <a:xfrm>
                      <a:off x="0" y="0"/>
                      <a:ext cx="5638800" cy="640080"/>
                    </a:xfrm>
                    <a:prstGeom prst="rect">
                      <a:avLst/>
                    </a:prstGeom>
                  </pic:spPr>
                </pic:pic>
              </a:graphicData>
            </a:graphic>
          </wp:inline>
        </w:drawing>
      </w:r>
    </w:p>
    <w:p>
      <w:pPr>
        <w:pStyle w:val="Normal"/>
      </w:pPr>
      <w:r>
        <w:t xml:space="preserve">Equivalently:</w:t>
      </w:r>
    </w:p>
    <w:p>
      <w:pPr>
        <w:jc w:val="center"/>
      </w:pPr>
      <w:r>
        <w:drawing>
          <wp:inline distT="0" distB="0" distL="0" distR="0">
            <wp:extent cx="5638800" cy="2392218"/>
            <wp:docPr id="16" name="Figure 16" descr="Specification figure or equation in 10. Value Transfer Score; original available in the DOCX"/>
            <a:graphic>
              <a:graphicData uri="http://schemas.openxmlformats.org/drawingml/2006/picture">
                <pic:pic>
                  <pic:nvPicPr>
                    <pic:cNvPr id="0" name="image16.png"/>
                    <pic:cNvPicPr/>
                  </pic:nvPicPr>
                  <pic:blipFill>
                    <a:blip r:embed="rId18"/>
                    <a:stretch>
                      <a:fillRect/>
                    </a:stretch>
                  </pic:blipFill>
                  <pic:spPr>
                    <a:xfrm>
                      <a:off x="0" y="0"/>
                      <a:ext cx="5638800" cy="2392218"/>
                    </a:xfrm>
                    <a:prstGeom prst="rect">
                      <a:avLst/>
                    </a:prstGeom>
                  </pic:spPr>
                </pic:pic>
              </a:graphicData>
            </a:graphic>
          </wp:inline>
        </w:drawing>
      </w:r>
    </w:p>
    <w:p>
      <w:pPr>
        <w:pStyle w:val="Normal"/>
      </w:pPr>
      <w:r>
        <w:t xml:space="preserve">The standardised score is:</w:t>
      </w:r>
    </w:p>
    <w:p>
      <w:pPr>
        <w:jc w:val="center"/>
      </w:pPr>
      <w:r>
        <w:drawing>
          <wp:inline distT="0" distB="0" distL="0" distR="0">
            <wp:extent cx="5638800" cy="2075078"/>
            <wp:docPr id="17" name="Figure 17" descr="Specification figure or equation in 10. Value Transfer Score; original available in the DOCX"/>
            <a:graphic>
              <a:graphicData uri="http://schemas.openxmlformats.org/drawingml/2006/picture">
                <pic:pic>
                  <pic:nvPicPr>
                    <pic:cNvPr id="0" name="image17.png"/>
                    <pic:cNvPicPr/>
                  </pic:nvPicPr>
                  <pic:blipFill>
                    <a:blip r:embed="rId19"/>
                    <a:stretch>
                      <a:fillRect/>
                    </a:stretch>
                  </pic:blipFill>
                  <pic:spPr>
                    <a:xfrm>
                      <a:off x="0" y="0"/>
                      <a:ext cx="5638800" cy="2075078"/>
                    </a:xfrm>
                    <a:prstGeom prst="rect">
                      <a:avLst/>
                    </a:prstGeom>
                  </pic:spPr>
                </pic:pic>
              </a:graphicData>
            </a:graphic>
          </wp:inline>
        </w:drawing>
      </w:r>
    </w:p>
    <w:p>
      <w:pPr>
        <w:pStyle w:val="Normal"/>
      </w:pPr>
      <w:r>
        <w:t xml:space="preserve">The six parent weights are fixed and equal. A change to parent weighting is not an ordinary parameter update; it would require a new constitutional edition.</w:t>
      </w:r>
    </w:p>
    <w:p>
      <w:pPr>
        <w:pStyle w:val="Heading2"/>
      </w:pPr>
      <w:r>
        <w:t xml:space="preserve">10.3 Why six dimensions</w:t>
      </w:r>
    </w:p>
    <w:p>
      <w:pPr>
        <w:pStyle w:val="Normal"/>
      </w:pPr>
      <w:r>
        <w:t xml:space="preserve">The six-index structure balances output, participation, finance, protocol quality, external adoption and resilience. Removing any dimension creates a material blind spot:</w:t>
      </w:r>
    </w:p>
    <w:p>
      <w:pPr>
        <w:pStyle w:val="ListParagraph"/>
      </w:pPr>
      <w:r>
        <w:t xml:space="preserve">• output without integrity can be fragile;</w:t>
      </w:r>
    </w:p>
    <w:p>
      <w:pPr>
        <w:pStyle w:val="ListParagraph"/>
      </w:pPr>
      <w:r>
        <w:t xml:space="preserve">• liquidity without decentralisation can be controlled;</w:t>
      </w:r>
    </w:p>
    <w:p>
      <w:pPr>
        <w:pStyle w:val="ListParagraph"/>
      </w:pPr>
      <w:r>
        <w:t xml:space="preserve">• participation without value creation can be unproductive;</w:t>
      </w:r>
    </w:p>
    <w:p>
      <w:pPr>
        <w:pStyle w:val="ListParagraph"/>
      </w:pPr>
      <w:r>
        <w:t xml:space="preserve">• adoption without resilience can collapse under stress;</w:t>
      </w:r>
    </w:p>
    <w:p>
      <w:pPr>
        <w:pStyle w:val="ListParagraph"/>
      </w:pPr>
      <w:r>
        <w:t xml:space="preserve">• integrity without usage can describe secure but economically inactive infrastructure;</w:t>
      </w:r>
    </w:p>
    <w:p>
      <w:pPr>
        <w:pStyle w:val="ListParagraph"/>
      </w:pPr>
      <w:r>
        <w:t xml:space="preserve">• resilience without current output can describe survival rather than relevance.</w:t>
      </w:r>
    </w:p>
    <w:p>
      <w:pPr>
        <w:pStyle w:val="Heading2"/>
      </w:pPr>
      <w:r>
        <w:t xml:space="preserve">10.4 Parent-index construction</w:t>
      </w:r>
    </w:p>
    <w:p>
      <w:pPr>
        <w:pStyle w:val="Normal"/>
      </w:pPr>
      <w:r>
        <w:t xml:space="preserve">Each parent index is a weighted average of canonical sub-indices:</w:t>
      </w:r>
    </w:p>
    <w:p>
      <w:pPr>
        <w:jc w:val="center"/>
      </w:pPr>
      <w:r>
        <w:drawing>
          <wp:inline distT="0" distB="0" distL="0" distR="0">
            <wp:extent cx="5638800" cy="2393830"/>
            <wp:docPr id="18" name="Figure 18" descr="Specification figure or equation in 10. Value Transfer Score; original available in the DOCX"/>
            <a:graphic>
              <a:graphicData uri="http://schemas.openxmlformats.org/drawingml/2006/picture">
                <pic:pic>
                  <pic:nvPicPr>
                    <pic:cNvPr id="0" name="image18.png"/>
                    <pic:cNvPicPr/>
                  </pic:nvPicPr>
                  <pic:blipFill>
                    <a:blip r:embed="rId20"/>
                    <a:stretch>
                      <a:fillRect/>
                    </a:stretch>
                  </pic:blipFill>
                  <pic:spPr>
                    <a:xfrm>
                      <a:off x="0" y="0"/>
                      <a:ext cx="5638800" cy="2393830"/>
                    </a:xfrm>
                    <a:prstGeom prst="rect">
                      <a:avLst/>
                    </a:prstGeom>
                  </pic:spPr>
                </pic:pic>
              </a:graphicData>
            </a:graphic>
          </wp:inline>
        </w:drawing>
      </w:r>
    </w:p>
    <w:p>
      <w:pPr>
        <w:pStyle w:val="Normal"/>
      </w:pPr>
      <w:r>
        <w:t xml:space="preserve">where s_jk is a 0–100 sub-index score and:</w:t>
      </w:r>
    </w:p>
    <w:p>
      <w:pPr>
        <w:jc w:val="center"/>
      </w:pPr>
      <w:r>
        <w:drawing>
          <wp:inline distT="0" distB="0" distL="0" distR="0">
            <wp:extent cx="5638800" cy="4201093"/>
            <wp:docPr id="19" name="Figure 19" descr="Specification figure or equation in 10. Value Transfer Score; original available in the DOCX"/>
            <a:graphic>
              <a:graphicData uri="http://schemas.openxmlformats.org/drawingml/2006/picture">
                <pic:pic>
                  <pic:nvPicPr>
                    <pic:cNvPr id="0" name="image19.png"/>
                    <pic:cNvPicPr/>
                  </pic:nvPicPr>
                  <pic:blipFill>
                    <a:blip r:embed="rId21"/>
                    <a:stretch>
                      <a:fillRect/>
                    </a:stretch>
                  </pic:blipFill>
                  <pic:spPr>
                    <a:xfrm>
                      <a:off x="0" y="0"/>
                      <a:ext cx="5638800" cy="4201093"/>
                    </a:xfrm>
                    <a:prstGeom prst="rect">
                      <a:avLst/>
                    </a:prstGeom>
                  </pic:spPr>
                </pic:pic>
              </a:graphicData>
            </a:graphic>
          </wp:inline>
        </w:drawing>
      </w:r>
    </w:p>
    <w:p>
      <w:pPr>
        <w:pStyle w:val="Normal"/>
      </w:pPr>
      <w:r>
        <w:t xml:space="preserve">Sub-index weights are specified in the metric registry. They may be revised through DAO governance only after correlation analysis, backtesting, public review and versioned impact simulation.</w:t>
      </w:r>
    </w:p>
    <w:p>
      <w:pPr>
        <w:pStyle w:val="Heading2"/>
      </w:pPr>
      <w:r>
        <w:t xml:space="preserve">10.5 Publication package</w:t>
      </w:r>
    </w:p>
    <w:p>
      <w:pPr>
        <w:pStyle w:val="Normal"/>
      </w:pPr>
      <w:r>
        <w:t xml:space="preserve">An official VTS publication contains:</w:t>
      </w:r>
    </w:p>
    <w:p>
      <w:pPr>
        <w:pStyle w:val="ListParagraph"/>
      </w:pPr>
      <w:r>
        <w:t xml:space="preserve">• current VTS and VTS_core;</w:t>
      </w:r>
    </w:p>
    <w:p>
      <w:pPr>
        <w:pStyle w:val="ListParagraph"/>
      </w:pPr>
      <w:r>
        <w:t xml:space="preserve">• ERU version and value;</w:t>
      </w:r>
    </w:p>
    <w:p>
      <w:pPr>
        <w:pStyle w:val="ListParagraph"/>
      </w:pPr>
      <w:r>
        <w:t xml:space="preserve">• all six parent indices;</w:t>
      </w:r>
    </w:p>
    <w:p>
      <w:pPr>
        <w:pStyle w:val="ListParagraph"/>
      </w:pPr>
      <w:r>
        <w:t xml:space="preserve">• sub-index contributions;</w:t>
      </w:r>
    </w:p>
    <w:p>
      <w:pPr>
        <w:pStyle w:val="ListParagraph"/>
      </w:pPr>
      <w:r>
        <w:t xml:space="preserve">• data windows and freshness;</w:t>
      </w:r>
    </w:p>
    <w:p>
      <w:pPr>
        <w:pStyle w:val="ListParagraph"/>
      </w:pPr>
      <w:r>
        <w:t xml:space="preserve">• VCS and publication status;</w:t>
      </w:r>
    </w:p>
    <w:p>
      <w:pPr>
        <w:pStyle w:val="ListParagraph"/>
      </w:pPr>
      <w:r>
        <w:t xml:space="preserve">• adapter and methodology version;</w:t>
      </w:r>
    </w:p>
    <w:p>
      <w:pPr>
        <w:pStyle w:val="ListParagraph"/>
      </w:pPr>
      <w:r>
        <w:t xml:space="preserve">• material risk and dispute flags;</w:t>
      </w:r>
    </w:p>
    <w:p>
      <w:pPr>
        <w:pStyle w:val="ListParagraph"/>
      </w:pPr>
      <w:r>
        <w:t xml:space="preserve">• machine-readable calculation record.</w:t>
      </w:r>
    </w:p>
    <w:p>
      <w:pPr>
        <w:jc w:val="center"/>
      </w:pPr>
      <w:r>
        <w:drawing>
          <wp:inline distT="0" distB="0" distL="0" distR="0">
            <wp:extent cx="5638800" cy="1456583"/>
            <wp:docPr id="20" name="Figure 20" descr="Specification figure or equation in 10. Value Transfer Score; original available in the DOCX"/>
            <a:graphic>
              <a:graphicData uri="http://schemas.openxmlformats.org/drawingml/2006/picture">
                <pic:pic>
                  <pic:nvPicPr>
                    <pic:cNvPr id="0" name="image20.png"/>
                    <pic:cNvPicPr/>
                  </pic:nvPicPr>
                  <pic:blipFill>
                    <a:blip r:embed="rId22"/>
                    <a:stretch>
                      <a:fillRect/>
                    </a:stretch>
                  </pic:blipFill>
                  <pic:spPr>
                    <a:xfrm>
                      <a:off x="0" y="0"/>
                      <a:ext cx="5638800" cy="1456583"/>
                    </a:xfrm>
                    <a:prstGeom prst="rect">
                      <a:avLst/>
                    </a:prstGeom>
                  </pic:spPr>
                </pic:pic>
              </a:graphicData>
            </a:graphic>
          </wp:inline>
        </w:drawing>
      </w:r>
    </w:p>
    <w:p>
      <w:pPr>
        <w:pStyle w:val="Normal"/>
      </w:pPr>
      <w:r>
        <w:t xml:space="preserve">The analytical stack keeps intrinsic measurement, market recognition, opportunity, risk, confidence and optional implementation separate.</w:t>
      </w:r>
    </w:p>
    <w:p>
      <w:pPr>
        <w:pStyle w:val="Heading1"/>
        <w:pageBreakBefore/>
      </w:pPr>
      <w:r>
        <w:t xml:space="preserve">11. Proof of Value (PoV)</w:t>
      </w:r>
    </w:p>
    <w:p>
      <w:pPr>
        <w:pStyle w:val="Heading2"/>
      </w:pPr>
      <w:r>
        <w:t xml:space="preserve">11.1 Purpose</w:t>
      </w:r>
    </w:p>
    <w:p>
      <w:pPr>
        <w:pStyle w:val="Normal"/>
      </w:pPr>
      <w:r>
        <w:t xml:space="preserve">Proof of Value measures whether a network is producing verifiable, useful and sustainable economic activity. It avoids the assumption that all transactions are equal and distinguishes nominal activity from economic value capture.</w:t>
      </w:r>
    </w:p>
    <w:p>
      <w:pPr>
        <w:pStyle w:val="Heading2"/>
      </w:pPr>
      <w:r>
        <w:t xml:space="preserve">11.2 PoV composition</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Sub-index</w:t>
            </w:r>
          </w:p>
        </w:tc>
        <w:tc>
          <w:tcPr>
            <w:tcW w:w="3033" w:type="dxa"/>
          </w:tcPr>
          <w:p>
            <w:pPr>
              <w:pStyle w:val="TableHeader"/>
            </w:pPr>
            <w:r>
              <w:t xml:space="preserve">Weight</w:t>
            </w:r>
          </w:p>
        </w:tc>
        <w:tc>
          <w:tcPr>
            <w:tcW w:w="3033" w:type="dxa"/>
          </w:tcPr>
          <w:p>
            <w:pPr>
              <w:pStyle w:val="TableHeader"/>
            </w:pPr>
            <w:r>
              <w:t xml:space="preserve">Primary economic meaning</w:t>
            </w:r>
          </w:p>
        </w:tc>
      </w:tr>
      <w:tr>
        <w:trPr>
          <w:cantSplit/>
        </w:trPr>
        <w:tc>
          <w:tcPr>
            <w:tcW w:w="3033" w:type="dxa"/>
          </w:tcPr>
          <w:p>
            <w:pPr>
              <w:pStyle w:val="TableText"/>
            </w:pPr>
            <w:r>
              <w:t xml:space="preserve">Economic settlement</w:t>
            </w:r>
          </w:p>
        </w:tc>
        <w:tc>
          <w:tcPr>
            <w:tcW w:w="3033" w:type="dxa"/>
          </w:tcPr>
          <w:p>
            <w:pPr>
              <w:pStyle w:val="TableText"/>
            </w:pPr>
            <w:r>
              <w:t xml:space="preserve">25%</w:t>
            </w:r>
          </w:p>
        </w:tc>
        <w:tc>
          <w:tcPr>
            <w:tcW w:w="3033" w:type="dxa"/>
          </w:tcPr>
          <w:p>
            <w:pPr>
              <w:pStyle w:val="TableText"/>
            </w:pPr>
            <w:r>
              <w:t xml:space="preserve">Value and useful operations settled by the network</w:t>
            </w:r>
          </w:p>
        </w:tc>
      </w:tr>
      <w:tr>
        <w:trPr>
          <w:cantSplit/>
        </w:trPr>
        <w:tc>
          <w:tcPr>
            <w:tcW w:w="3033" w:type="dxa"/>
          </w:tcPr>
          <w:p>
            <w:pPr>
              <w:pStyle w:val="TableText"/>
            </w:pPr>
            <w:r>
              <w:t xml:space="preserve">Fees and protocol revenue</w:t>
            </w:r>
          </w:p>
        </w:tc>
        <w:tc>
          <w:tcPr>
            <w:tcW w:w="3033" w:type="dxa"/>
          </w:tcPr>
          <w:p>
            <w:pPr>
              <w:pStyle w:val="TableText"/>
            </w:pPr>
            <w:r>
              <w:t xml:space="preserve">20%</w:t>
            </w:r>
          </w:p>
        </w:tc>
        <w:tc>
          <w:tcPr>
            <w:tcW w:w="3033" w:type="dxa"/>
          </w:tcPr>
          <w:p>
            <w:pPr>
              <w:pStyle w:val="TableText"/>
            </w:pPr>
            <w:r>
              <w:t xml:space="preserve">Demand paid for network or protocol services</w:t>
            </w:r>
          </w:p>
        </w:tc>
      </w:tr>
      <w:tr>
        <w:trPr>
          <w:cantSplit/>
        </w:trPr>
        <w:tc>
          <w:tcPr>
            <w:tcW w:w="3033" w:type="dxa"/>
          </w:tcPr>
          <w:p>
            <w:pPr>
              <w:pStyle w:val="TableText"/>
            </w:pPr>
            <w:r>
              <w:t xml:space="preserve">Active economic usage</w:t>
            </w:r>
          </w:p>
        </w:tc>
        <w:tc>
          <w:tcPr>
            <w:tcW w:w="3033" w:type="dxa"/>
          </w:tcPr>
          <w:p>
            <w:pPr>
              <w:pStyle w:val="TableText"/>
            </w:pPr>
            <w:r>
              <w:t xml:space="preserve">20%</w:t>
            </w:r>
          </w:p>
        </w:tc>
        <w:tc>
          <w:tcPr>
            <w:tcW w:w="3033" w:type="dxa"/>
          </w:tcPr>
          <w:p>
            <w:pPr>
              <w:pStyle w:val="TableText"/>
            </w:pPr>
            <w:r>
              <w:t xml:space="preserve">Breadth, retention and quality of active demand</w:t>
            </w:r>
          </w:p>
        </w:tc>
      </w:tr>
      <w:tr>
        <w:trPr>
          <w:cantSplit/>
        </w:trPr>
        <w:tc>
          <w:tcPr>
            <w:tcW w:w="3033" w:type="dxa"/>
          </w:tcPr>
          <w:p>
            <w:pPr>
              <w:pStyle w:val="TableText"/>
            </w:pPr>
            <w:r>
              <w:t xml:space="preserve">Value capture and sustainability</w:t>
            </w:r>
          </w:p>
        </w:tc>
        <w:tc>
          <w:tcPr>
            <w:tcW w:w="3033" w:type="dxa"/>
          </w:tcPr>
          <w:p>
            <w:pPr>
              <w:pStyle w:val="TableText"/>
            </w:pPr>
            <w:r>
              <w:t xml:space="preserve">20%</w:t>
            </w:r>
          </w:p>
        </w:tc>
        <w:tc>
          <w:tcPr>
            <w:tcW w:w="3033" w:type="dxa"/>
          </w:tcPr>
          <w:p>
            <w:pPr>
              <w:pStyle w:val="TableText"/>
            </w:pPr>
            <w:r>
              <w:t xml:space="preserve">Degree to which activity supports security and stakeholders without excessive subsidy</w:t>
            </w:r>
          </w:p>
        </w:tc>
      </w:tr>
      <w:tr>
        <w:trPr>
          <w:cantSplit/>
        </w:trPr>
        <w:tc>
          <w:tcPr>
            <w:tcW w:w="3033" w:type="dxa"/>
          </w:tcPr>
          <w:p>
            <w:pPr>
              <w:pStyle w:val="TableText"/>
            </w:pPr>
            <w:r>
              <w:t xml:space="preserve">Persistence and activity quality</w:t>
            </w:r>
          </w:p>
        </w:tc>
        <w:tc>
          <w:tcPr>
            <w:tcW w:w="3033" w:type="dxa"/>
          </w:tcPr>
          <w:p>
            <w:pPr>
              <w:pStyle w:val="TableText"/>
            </w:pPr>
            <w:r>
              <w:t xml:space="preserve">15%</w:t>
            </w:r>
          </w:p>
        </w:tc>
        <w:tc>
          <w:tcPr>
            <w:tcW w:w="3033" w:type="dxa"/>
          </w:tcPr>
          <w:p>
            <w:pPr>
              <w:pStyle w:val="TableText"/>
            </w:pPr>
            <w:r>
              <w:t xml:space="preserve">Durability, diversity and resistance to fabricated activity</w:t>
            </w:r>
          </w:p>
        </w:tc>
      </w:tr>
    </w:tbl>
    <w:p>
      <w:pPr>
        <w:jc w:val="center"/>
      </w:pPr>
      <w:r>
        <w:drawing>
          <wp:inline distT="0" distB="0" distL="0" distR="0">
            <wp:extent cx="5638800" cy="296420"/>
            <wp:docPr id="21" name="Figure 21" descr="Specification figure or equation in 11. Proof of Value (PoV); original available in the DOCX"/>
            <a:graphic>
              <a:graphicData uri="http://schemas.openxmlformats.org/drawingml/2006/picture">
                <pic:pic>
                  <pic:nvPicPr>
                    <pic:cNvPr id="0" name="image21.png"/>
                    <pic:cNvPicPr/>
                  </pic:nvPicPr>
                  <pic:blipFill>
                    <a:blip r:embed="rId23"/>
                    <a:stretch>
                      <a:fillRect/>
                    </a:stretch>
                  </pic:blipFill>
                  <pic:spPr>
                    <a:xfrm>
                      <a:off x="0" y="0"/>
                      <a:ext cx="5638800" cy="296420"/>
                    </a:xfrm>
                    <a:prstGeom prst="rect">
                      <a:avLst/>
                    </a:prstGeom>
                  </pic:spPr>
                </pic:pic>
              </a:graphicData>
            </a:graphic>
          </wp:inline>
        </w:drawing>
      </w:r>
    </w:p>
    <w:p>
      <w:pPr>
        <w:pStyle w:val="Heading2"/>
      </w:pPr>
      <w:r>
        <w:t xml:space="preserve">11.3 Economic settlement</w:t>
      </w:r>
    </w:p>
    <w:p>
      <w:pPr>
        <w:pStyle w:val="Normal"/>
      </w:pPr>
      <w:r>
        <w:t xml:space="preserve">Economic settlement evaluates the value and utility of finalised operations. Evidence may include:</w:t>
      </w:r>
    </w:p>
    <w:p>
      <w:pPr>
        <w:pStyle w:val="ListParagraph"/>
      </w:pPr>
      <w:r>
        <w:t xml:space="preserve">• native and major asset transfer value after self-transfer and change-output filters;</w:t>
      </w:r>
    </w:p>
    <w:p>
      <w:pPr>
        <w:pStyle w:val="ListParagraph"/>
      </w:pPr>
      <w:r>
        <w:t xml:space="preserve">• application settlement where the network provides execution or finality;</w:t>
      </w:r>
    </w:p>
    <w:p>
      <w:pPr>
        <w:pStyle w:val="ListParagraph"/>
      </w:pPr>
      <w:r>
        <w:t xml:space="preserve">• bridge or cross-chain settlement attributed under canonical scope rules;</w:t>
      </w:r>
    </w:p>
    <w:p>
      <w:pPr>
        <w:pStyle w:val="ListParagraph"/>
      </w:pPr>
      <w:r>
        <w:t xml:space="preserve">• economically meaningful contract executions;</w:t>
      </w:r>
    </w:p>
    <w:p>
      <w:pPr>
        <w:pStyle w:val="ListParagraph"/>
      </w:pPr>
      <w:r>
        <w:t xml:space="preserve">• settlement value adjusted for reversibility, finality and duplicated representations.</w:t>
      </w:r>
    </w:p>
    <w:p>
      <w:pPr>
        <w:pStyle w:val="Normal"/>
      </w:pPr>
      <w:r>
        <w:t xml:space="preserve">Raw value is commonly log-transformed. Stablecoin and token transfer values are separated to avoid one highly active asset dominating the entire component.</w:t>
      </w:r>
    </w:p>
    <w:p>
      <w:pPr>
        <w:pStyle w:val="Heading2"/>
      </w:pPr>
      <w:r>
        <w:t xml:space="preserve">11.4 Fees and protocol revenue</w:t>
      </w:r>
    </w:p>
    <w:p>
      <w:pPr>
        <w:pStyle w:val="Normal"/>
      </w:pPr>
      <w:r>
        <w:t xml:space="preserve">Fees measure demand for scarce network resources. Revenue measures the share retained by validators, miners, sequencers, the protocol treasury or token economics after required distributions.</w:t>
      </w:r>
    </w:p>
    <w:p>
      <w:pPr>
        <w:pStyle w:val="Normal"/>
      </w:pPr>
      <w:r>
        <w:t xml:space="preserve">The component records:</w:t>
      </w:r>
    </w:p>
    <w:p>
      <w:pPr>
        <w:pStyle w:val="ListParagraph"/>
      </w:pPr>
      <w:r>
        <w:t xml:space="preserve">• gross user fees;</w:t>
      </w:r>
    </w:p>
    <w:p>
      <w:pPr>
        <w:pStyle w:val="ListParagraph"/>
      </w:pPr>
      <w:r>
        <w:t xml:space="preserve">• protocol revenue under a published accounting definition;</w:t>
      </w:r>
    </w:p>
    <w:p>
      <w:pPr>
        <w:pStyle w:val="ListParagraph"/>
      </w:pPr>
      <w:r>
        <w:t xml:space="preserve">• revenue growth and persistence;</w:t>
      </w:r>
    </w:p>
    <w:p>
      <w:pPr>
        <w:pStyle w:val="ListParagraph"/>
      </w:pPr>
      <w:r>
        <w:t xml:space="preserve">• fee concentration by application or user segment;</w:t>
      </w:r>
    </w:p>
    <w:p>
      <w:pPr>
        <w:pStyle w:val="ListParagraph"/>
      </w:pPr>
      <w:r>
        <w:t xml:space="preserve">• fee subsidy and rebate offsets;</w:t>
      </w:r>
    </w:p>
    <w:p>
      <w:pPr>
        <w:pStyle w:val="ListParagraph"/>
      </w:pPr>
      <w:r>
        <w:t xml:space="preserve">• revenue relative to security cost and settled value.</w:t>
      </w:r>
    </w:p>
    <w:p>
      <w:pPr>
        <w:pStyle w:val="Normal"/>
      </w:pPr>
      <w:r>
        <w:t xml:space="preserve">High fees are not automatically positive. The metric uses a combination of demand, retention and affordability. Congestion that prices out normal activity may improve nominal fee revenue but weaken usage quality.</w:t>
      </w:r>
    </w:p>
    <w:p>
      <w:pPr>
        <w:pStyle w:val="Heading2"/>
      </w:pPr>
      <w:r>
        <w:t xml:space="preserve">11.5 Active economic usage</w:t>
      </w:r>
    </w:p>
    <w:p>
      <w:pPr>
        <w:pStyle w:val="Normal"/>
      </w:pPr>
      <w:r>
        <w:t xml:space="preserve">Active economic usage measures unique and retained participation rather than raw address count. Adapter methods may include:</w:t>
      </w:r>
    </w:p>
    <w:p>
      <w:pPr>
        <w:pStyle w:val="ListParagraph"/>
      </w:pPr>
      <w:r>
        <w:t xml:space="preserve">• active entities or addresses after known system-account filters;</w:t>
      </w:r>
    </w:p>
    <w:p>
      <w:pPr>
        <w:pStyle w:val="ListParagraph"/>
      </w:pPr>
      <w:r>
        <w:t xml:space="preserve">• new, returning and retained cohorts;</w:t>
      </w:r>
    </w:p>
    <w:p>
      <w:pPr>
        <w:pStyle w:val="ListParagraph"/>
      </w:pPr>
      <w:r>
        <w:t xml:space="preserve">• active applications and contracts;</w:t>
      </w:r>
    </w:p>
    <w:p>
      <w:pPr>
        <w:pStyle w:val="ListParagraph"/>
      </w:pPr>
      <w:r>
        <w:t xml:space="preserve">• median transactions per active entity;</w:t>
      </w:r>
    </w:p>
    <w:p>
      <w:pPr>
        <w:pStyle w:val="ListParagraph"/>
      </w:pPr>
      <w:r>
        <w:t xml:space="preserve">• economically meaningful activity thresholds;</w:t>
      </w:r>
    </w:p>
    <w:p>
      <w:pPr>
        <w:pStyle w:val="ListParagraph"/>
      </w:pPr>
      <w:r>
        <w:t xml:space="preserve">• concentration of activity among top entities.</w:t>
      </w:r>
    </w:p>
    <w:p>
      <w:pPr>
        <w:pStyle w:val="Normal"/>
      </w:pPr>
      <w:r>
        <w:t xml:space="preserve">Entity clustering is used only when reproducible and clearly labelled. Where addresses cannot be reliably mapped to people, the framework uses the term active accounts or entities, not users.</w:t>
      </w:r>
    </w:p>
    <w:p>
      <w:pPr>
        <w:pStyle w:val="Heading2"/>
      </w:pPr>
      <w:r>
        <w:t xml:space="preserve">11.6 Value capture and sustainability</w:t>
      </w:r>
    </w:p>
    <w:p>
      <w:pPr>
        <w:pStyle w:val="Normal"/>
      </w:pPr>
      <w:r>
        <w:t xml:space="preserve">A network creates durable value when its economic output contributes to security, maintenance or stakeholders without depending indefinitely on unsustainable emissions.</w:t>
      </w:r>
    </w:p>
    <w:p>
      <w:pPr>
        <w:pStyle w:val="Normal"/>
      </w:pPr>
      <w:r>
        <w:t xml:space="preserve">Evidence may include:</w:t>
      </w:r>
    </w:p>
    <w:p>
      <w:pPr>
        <w:pStyle w:val="ListParagraph"/>
      </w:pPr>
      <w:r>
        <w:t xml:space="preserve">• net protocol income;</w:t>
      </w:r>
    </w:p>
    <w:p>
      <w:pPr>
        <w:pStyle w:val="ListParagraph"/>
      </w:pPr>
      <w:r>
        <w:t xml:space="preserve">• fee burn or supply reduction;</w:t>
      </w:r>
    </w:p>
    <w:p>
      <w:pPr>
        <w:pStyle w:val="ListParagraph"/>
      </w:pPr>
      <w:r>
        <w:t xml:space="preserve">• treasury accumulation from operating activity;</w:t>
      </w:r>
    </w:p>
    <w:p>
      <w:pPr>
        <w:pStyle w:val="ListParagraph"/>
      </w:pPr>
      <w:r>
        <w:t xml:space="preserve">• buybacks funded by revenue;</w:t>
      </w:r>
    </w:p>
    <w:p>
      <w:pPr>
        <w:pStyle w:val="ListParagraph"/>
      </w:pPr>
      <w:r>
        <w:t xml:space="preserve">• staking or mining yield funded by fees rather than dilution;</w:t>
      </w:r>
    </w:p>
    <w:p>
      <w:pPr>
        <w:pStyle w:val="ListParagraph"/>
      </w:pPr>
      <w:r>
        <w:t xml:space="preserve">• revenue-to-incentive ratio;</w:t>
      </w:r>
    </w:p>
    <w:p>
      <w:pPr>
        <w:pStyle w:val="ListParagraph"/>
      </w:pPr>
      <w:r>
        <w:t xml:space="preserve">• security-budget coverage by organic fees;</w:t>
      </w:r>
    </w:p>
    <w:p>
      <w:pPr>
        <w:pStyle w:val="ListParagraph"/>
      </w:pPr>
      <w:r>
        <w:t xml:space="preserve">• dilution-adjusted value accrual.</w:t>
      </w:r>
    </w:p>
    <w:p>
      <w:pPr>
        <w:pStyle w:val="Normal"/>
      </w:pPr>
      <w:r>
        <w:t xml:space="preserve">This component does not assume that every network must burn tokens or distribute revenue. It measures whether the economic design captures enough value to support the system’s stated function.</w:t>
      </w:r>
    </w:p>
    <w:p>
      <w:pPr>
        <w:pStyle w:val="Heading2"/>
      </w:pPr>
      <w:r>
        <w:t xml:space="preserve">11.7 Persistence and activity quality</w:t>
      </w:r>
    </w:p>
    <w:p>
      <w:pPr>
        <w:pStyle w:val="Normal"/>
      </w:pPr>
      <w:r>
        <w:t xml:space="preserve">Persistence discounts short-term campaigns and manipulative activity. It considers:</w:t>
      </w:r>
    </w:p>
    <w:p>
      <w:pPr>
        <w:pStyle w:val="ListParagraph"/>
      </w:pPr>
      <w:r>
        <w:t xml:space="preserve">• 30-, 90- and 365-day retention;</w:t>
      </w:r>
    </w:p>
    <w:p>
      <w:pPr>
        <w:pStyle w:val="ListParagraph"/>
      </w:pPr>
      <w:r>
        <w:t xml:space="preserve">• activity diversity across applications and categories;</w:t>
      </w:r>
    </w:p>
    <w:p>
      <w:pPr>
        <w:pStyle w:val="ListParagraph"/>
      </w:pPr>
      <w:r>
        <w:t xml:space="preserve">• dependence on token incentives;</w:t>
      </w:r>
    </w:p>
    <w:p>
      <w:pPr>
        <w:pStyle w:val="ListParagraph"/>
      </w:pPr>
      <w:r>
        <w:t xml:space="preserve">• circular transfers and wash-activity indicators;</w:t>
      </w:r>
    </w:p>
    <w:p>
      <w:pPr>
        <w:pStyle w:val="ListParagraph"/>
      </w:pPr>
      <w:r>
        <w:t xml:space="preserve">• stability of settlement and fee generation;</w:t>
      </w:r>
    </w:p>
    <w:p>
      <w:pPr>
        <w:pStyle w:val="ListParagraph"/>
      </w:pPr>
      <w:r>
        <w:t xml:space="preserve">• concentration among a small number of applications or counterparties.</w:t>
      </w:r>
    </w:p>
    <w:p>
      <w:pPr>
        <w:pStyle w:val="Heading2"/>
      </w:pPr>
      <w:r>
        <w:t xml:space="preserve">11.8 PoV exclusions</w:t>
      </w:r>
    </w:p>
    <w:p>
      <w:pPr>
        <w:pStyle w:val="Normal"/>
      </w:pPr>
      <w:r>
        <w:t xml:space="preserve">PoV excludes or separately flags:</w:t>
      </w:r>
    </w:p>
    <w:p>
      <w:pPr>
        <w:pStyle w:val="ListParagraph"/>
      </w:pPr>
      <w:r>
        <w:t xml:space="preserve">• internal system transactions that do not represent economic demand;</w:t>
      </w:r>
    </w:p>
    <w:p>
      <w:pPr>
        <w:pStyle w:val="ListParagraph"/>
      </w:pPr>
      <w:r>
        <w:t xml:space="preserve">• duplicated bridge mint and burn events;</w:t>
      </w:r>
    </w:p>
    <w:p>
      <w:pPr>
        <w:pStyle w:val="ListParagraph"/>
      </w:pPr>
      <w:r>
        <w:t xml:space="preserve">• self-transfers and change outputs where identifiable;</w:t>
      </w:r>
    </w:p>
    <w:p>
      <w:pPr>
        <w:pStyle w:val="ListParagraph"/>
      </w:pPr>
      <w:r>
        <w:t xml:space="preserve">• wash trading and circular volume;</w:t>
      </w:r>
    </w:p>
    <w:p>
      <w:pPr>
        <w:pStyle w:val="ListParagraph"/>
      </w:pPr>
      <w:r>
        <w:t xml:space="preserve">• gross revenue before material incentive offsets when net economics are available;</w:t>
      </w:r>
    </w:p>
    <w:p>
      <w:pPr>
        <w:pStyle w:val="ListParagraph"/>
      </w:pPr>
      <w:r>
        <w:t xml:space="preserve">• nominal token-value growth caused only by asset-price appreciation.</w:t>
      </w:r>
    </w:p>
    <w:p>
      <w:pPr>
        <w:pStyle w:val="Heading2"/>
      </w:pPr>
      <w:r>
        <w:t xml:space="preserve">11.9 Interpretation</w:t>
      </w:r>
    </w:p>
    <w:p>
      <w:pPr>
        <w:pStyle w:val="Normal"/>
      </w:pPr>
      <w:r>
        <w:t xml:space="preserve">A high PoV indicates broad, persistent and economically meaningful activity with credible value capture. It does not by itself prove decentralisation, security or resilience; those are measured elsewhere.</w:t>
      </w:r>
    </w:p>
    <w:p>
      <w:pPr>
        <w:pStyle w:val="Heading1"/>
        <w:pageBreakBefore/>
      </w:pPr>
      <w:r>
        <w:t xml:space="preserve">12. On-Chain Participation Index (OPI)</w:t>
      </w:r>
    </w:p>
    <w:p>
      <w:pPr>
        <w:pStyle w:val="Heading2"/>
      </w:pPr>
      <w:r>
        <w:t xml:space="preserve">12.1 Purpose</w:t>
      </w:r>
    </w:p>
    <w:p>
      <w:pPr>
        <w:pStyle w:val="Normal"/>
      </w:pPr>
      <w:r>
        <w:t xml:space="preserve">OPI measures the breadth and quality of participation in using, securing, governing and developing a network. It treats participation as productive capacity rather than popularity.</w:t>
      </w:r>
    </w:p>
    <w:p>
      <w:pPr>
        <w:pStyle w:val="Heading2"/>
      </w:pPr>
      <w:r>
        <w:t xml:space="preserve">12.2 OPI composition</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Sub-index</w:t>
            </w:r>
          </w:p>
        </w:tc>
        <w:tc>
          <w:tcPr>
            <w:tcW w:w="3033" w:type="dxa"/>
          </w:tcPr>
          <w:p>
            <w:pPr>
              <w:pStyle w:val="TableHeader"/>
            </w:pPr>
            <w:r>
              <w:t xml:space="preserve">Weight</w:t>
            </w:r>
          </w:p>
        </w:tc>
        <w:tc>
          <w:tcPr>
            <w:tcW w:w="3033" w:type="dxa"/>
          </w:tcPr>
          <w:p>
            <w:pPr>
              <w:pStyle w:val="TableHeader"/>
            </w:pPr>
            <w:r>
              <w:t xml:space="preserve">Primary economic meaning</w:t>
            </w:r>
          </w:p>
        </w:tc>
      </w:tr>
      <w:tr>
        <w:trPr>
          <w:cantSplit/>
        </w:trPr>
        <w:tc>
          <w:tcPr>
            <w:tcW w:w="3033" w:type="dxa"/>
          </w:tcPr>
          <w:p>
            <w:pPr>
              <w:pStyle w:val="TableText"/>
            </w:pPr>
            <w:r>
              <w:t xml:space="preserve">Active participant breadth</w:t>
            </w:r>
          </w:p>
        </w:tc>
        <w:tc>
          <w:tcPr>
            <w:tcW w:w="3033" w:type="dxa"/>
          </w:tcPr>
          <w:p>
            <w:pPr>
              <w:pStyle w:val="TableText"/>
            </w:pPr>
            <w:r>
              <w:t xml:space="preserve">25%</w:t>
            </w:r>
          </w:p>
        </w:tc>
        <w:tc>
          <w:tcPr>
            <w:tcW w:w="3033" w:type="dxa"/>
          </w:tcPr>
          <w:p>
            <w:pPr>
              <w:pStyle w:val="TableText"/>
            </w:pPr>
            <w:r>
              <w:t xml:space="preserve">Diversity and retention of economic participants</w:t>
            </w:r>
          </w:p>
        </w:tc>
      </w:tr>
      <w:tr>
        <w:trPr>
          <w:cantSplit/>
        </w:trPr>
        <w:tc>
          <w:tcPr>
            <w:tcW w:w="3033" w:type="dxa"/>
          </w:tcPr>
          <w:p>
            <w:pPr>
              <w:pStyle w:val="TableText"/>
            </w:pPr>
            <w:r>
              <w:t xml:space="preserve">Security participation</w:t>
            </w:r>
          </w:p>
        </w:tc>
        <w:tc>
          <w:tcPr>
            <w:tcW w:w="3033" w:type="dxa"/>
          </w:tcPr>
          <w:p>
            <w:pPr>
              <w:pStyle w:val="TableText"/>
            </w:pPr>
            <w:r>
              <w:t xml:space="preserve">20%</w:t>
            </w:r>
          </w:p>
        </w:tc>
        <w:tc>
          <w:tcPr>
            <w:tcW w:w="3033" w:type="dxa"/>
          </w:tcPr>
          <w:p>
            <w:pPr>
              <w:pStyle w:val="TableText"/>
            </w:pPr>
            <w:r>
              <w:t xml:space="preserve">Breadth of capital and operators securing the network</w:t>
            </w:r>
          </w:p>
        </w:tc>
      </w:tr>
      <w:tr>
        <w:trPr>
          <w:cantSplit/>
        </w:trPr>
        <w:tc>
          <w:tcPr>
            <w:tcW w:w="3033" w:type="dxa"/>
          </w:tcPr>
          <w:p>
            <w:pPr>
              <w:pStyle w:val="TableText"/>
            </w:pPr>
            <w:r>
              <w:t xml:space="preserve">Governance participation</w:t>
            </w:r>
          </w:p>
        </w:tc>
        <w:tc>
          <w:tcPr>
            <w:tcW w:w="3033" w:type="dxa"/>
          </w:tcPr>
          <w:p>
            <w:pPr>
              <w:pStyle w:val="TableText"/>
            </w:pPr>
            <w:r>
              <w:t xml:space="preserve">15%</w:t>
            </w:r>
          </w:p>
        </w:tc>
        <w:tc>
          <w:tcPr>
            <w:tcW w:w="3033" w:type="dxa"/>
          </w:tcPr>
          <w:p>
            <w:pPr>
              <w:pStyle w:val="TableText"/>
            </w:pPr>
            <w:r>
              <w:t xml:space="preserve">Meaningful involvement in shared decision-making</w:t>
            </w:r>
          </w:p>
        </w:tc>
      </w:tr>
      <w:tr>
        <w:trPr>
          <w:cantSplit/>
        </w:trPr>
        <w:tc>
          <w:tcPr>
            <w:tcW w:w="3033" w:type="dxa"/>
          </w:tcPr>
          <w:p>
            <w:pPr>
              <w:pStyle w:val="TableText"/>
            </w:pPr>
            <w:r>
              <w:t xml:space="preserve">Developer participation</w:t>
            </w:r>
          </w:p>
        </w:tc>
        <w:tc>
          <w:tcPr>
            <w:tcW w:w="3033" w:type="dxa"/>
          </w:tcPr>
          <w:p>
            <w:pPr>
              <w:pStyle w:val="TableText"/>
            </w:pPr>
            <w:r>
              <w:t xml:space="preserve">20%</w:t>
            </w:r>
          </w:p>
        </w:tc>
        <w:tc>
          <w:tcPr>
            <w:tcW w:w="3033" w:type="dxa"/>
          </w:tcPr>
          <w:p>
            <w:pPr>
              <w:pStyle w:val="TableText"/>
            </w:pPr>
            <w:r>
              <w:t xml:space="preserve">Active maintenance and productive software development</w:t>
            </w:r>
          </w:p>
        </w:tc>
      </w:tr>
      <w:tr>
        <w:trPr>
          <w:cantSplit/>
        </w:trPr>
        <w:tc>
          <w:tcPr>
            <w:tcW w:w="3033" w:type="dxa"/>
          </w:tcPr>
          <w:p>
            <w:pPr>
              <w:pStyle w:val="TableText"/>
            </w:pPr>
            <w:r>
              <w:t xml:space="preserve">Distribution and retention</w:t>
            </w:r>
          </w:p>
        </w:tc>
        <w:tc>
          <w:tcPr>
            <w:tcW w:w="3033" w:type="dxa"/>
          </w:tcPr>
          <w:p>
            <w:pPr>
              <w:pStyle w:val="TableText"/>
            </w:pPr>
            <w:r>
              <w:t xml:space="preserve">20%</w:t>
            </w:r>
          </w:p>
        </w:tc>
        <w:tc>
          <w:tcPr>
            <w:tcW w:w="3033" w:type="dxa"/>
          </w:tcPr>
          <w:p>
            <w:pPr>
              <w:pStyle w:val="TableText"/>
            </w:pPr>
            <w:r>
              <w:t xml:space="preserve">Persistence and avoidance of participant concentration</w:t>
            </w:r>
          </w:p>
        </w:tc>
      </w:tr>
    </w:tbl>
    <w:p>
      <w:pPr>
        <w:jc w:val="center"/>
      </w:pPr>
      <w:r>
        <w:drawing>
          <wp:inline distT="0" distB="0" distL="0" distR="0">
            <wp:extent cx="5638800" cy="286199"/>
            <wp:docPr id="22" name="Figure 22" descr="Specification figure or equation in 12. On-Chain Participation Index (OPI); original available in the DOCX"/>
            <a:graphic>
              <a:graphicData uri="http://schemas.openxmlformats.org/drawingml/2006/picture">
                <pic:pic>
                  <pic:nvPicPr>
                    <pic:cNvPr id="0" name="image22.png"/>
                    <pic:cNvPicPr/>
                  </pic:nvPicPr>
                  <pic:blipFill>
                    <a:blip r:embed="rId24"/>
                    <a:stretch>
                      <a:fillRect/>
                    </a:stretch>
                  </pic:blipFill>
                  <pic:spPr>
                    <a:xfrm>
                      <a:off x="0" y="0"/>
                      <a:ext cx="5638800" cy="286199"/>
                    </a:xfrm>
                    <a:prstGeom prst="rect">
                      <a:avLst/>
                    </a:prstGeom>
                  </pic:spPr>
                </pic:pic>
              </a:graphicData>
            </a:graphic>
          </wp:inline>
        </w:drawing>
      </w:r>
    </w:p>
    <w:p>
      <w:pPr>
        <w:pStyle w:val="Heading2"/>
      </w:pPr>
      <w:r>
        <w:t xml:space="preserve">12.3 Active participant breadth</w:t>
      </w:r>
    </w:p>
    <w:p>
      <w:pPr>
        <w:pStyle w:val="Normal"/>
      </w:pPr>
      <w:r>
        <w:t xml:space="preserve">This sub-index uses the active-entity data developed for PoV but focuses on distribution rather than output. It examines:</w:t>
      </w:r>
    </w:p>
    <w:p>
      <w:pPr>
        <w:pStyle w:val="ListParagraph"/>
      </w:pPr>
      <w:r>
        <w:t xml:space="preserve">• number of active entities relative to network history and capacity;</w:t>
      </w:r>
    </w:p>
    <w:p>
      <w:pPr>
        <w:pStyle w:val="ListParagraph"/>
      </w:pPr>
      <w:r>
        <w:t xml:space="preserve">• new-to-returning participant balance;</w:t>
      </w:r>
    </w:p>
    <w:p>
      <w:pPr>
        <w:pStyle w:val="ListParagraph"/>
      </w:pPr>
      <w:r>
        <w:t xml:space="preserve">• cohort retention;</w:t>
      </w:r>
    </w:p>
    <w:p>
      <w:pPr>
        <w:pStyle w:val="ListParagraph"/>
      </w:pPr>
      <w:r>
        <w:t xml:space="preserve">• geographic or jurisdictional diversity where verifiable and privacy-preserving;</w:t>
      </w:r>
    </w:p>
    <w:p>
      <w:pPr>
        <w:pStyle w:val="ListParagraph"/>
      </w:pPr>
      <w:r>
        <w:t xml:space="preserve">• participant concentration by activity share;</w:t>
      </w:r>
    </w:p>
    <w:p>
      <w:pPr>
        <w:pStyle w:val="ListParagraph"/>
      </w:pPr>
      <w:r>
        <w:t xml:space="preserve">• diversity of application categories used.</w:t>
      </w:r>
    </w:p>
    <w:p>
      <w:pPr>
        <w:pStyle w:val="Heading2"/>
      </w:pPr>
      <w:r>
        <w:t xml:space="preserve">12.4 Security participation</w:t>
      </w:r>
    </w:p>
    <w:p>
      <w:pPr>
        <w:pStyle w:val="Normal"/>
      </w:pPr>
      <w:r>
        <w:t xml:space="preserve">Security participation adapts to consensus architecture.</w:t>
      </w:r>
    </w:p>
    <w:p>
      <w:pPr>
        <w:pStyle w:val="Normal"/>
      </w:pPr>
      <w:r>
        <w:t xml:space="preserve">For proof-of-stake networks, evidence may include active validators, delegated stake, stake participation, effective stake distribution and independent operator count. For proof-of-work networks, evidence may include mining entities, pool distribution, estimated independent operators and work participation. For rollups, evidence may include sequencer operation, prover participation, validator committees and availability of forced inclusion or escape mechanisms.</w:t>
      </w:r>
    </w:p>
    <w:p>
      <w:pPr>
        <w:pStyle w:val="Normal"/>
      </w:pPr>
      <w:r>
        <w:t xml:space="preserve">The sub-index rewards broad effective control, not merely a large number of nominal identities.</w:t>
      </w:r>
    </w:p>
    <w:p>
      <w:pPr>
        <w:pStyle w:val="Heading2"/>
      </w:pPr>
      <w:r>
        <w:t xml:space="preserve">12.5 Governance participation</w:t>
      </w:r>
    </w:p>
    <w:p>
      <w:pPr>
        <w:pStyle w:val="Normal"/>
      </w:pPr>
      <w:r>
        <w:t xml:space="preserve">Governance evidence may include:</w:t>
      </w:r>
    </w:p>
    <w:p>
      <w:pPr>
        <w:pStyle w:val="ListParagraph"/>
      </w:pPr>
      <w:r>
        <w:t xml:space="preserve">• voter or delegate turnout;</w:t>
      </w:r>
    </w:p>
    <w:p>
      <w:pPr>
        <w:pStyle w:val="ListParagraph"/>
      </w:pPr>
      <w:r>
        <w:t xml:space="preserve">• voting-power concentration;</w:t>
      </w:r>
    </w:p>
    <w:p>
      <w:pPr>
        <w:pStyle w:val="ListParagraph"/>
      </w:pPr>
      <w:r>
        <w:t xml:space="preserve">• proposal diversity and quality;</w:t>
      </w:r>
    </w:p>
    <w:p>
      <w:pPr>
        <w:pStyle w:val="ListParagraph"/>
      </w:pPr>
      <w:r>
        <w:t xml:space="preserve">• deliberation period and transparency;</w:t>
      </w:r>
    </w:p>
    <w:p>
      <w:pPr>
        <w:pStyle w:val="ListParagraph"/>
      </w:pPr>
      <w:r>
        <w:t xml:space="preserve">• execution rate of approved decisions;</w:t>
      </w:r>
    </w:p>
    <w:p>
      <w:pPr>
        <w:pStyle w:val="ListParagraph"/>
      </w:pPr>
      <w:r>
        <w:t xml:space="preserve">• voter retention;</w:t>
      </w:r>
    </w:p>
    <w:p>
      <w:pPr>
        <w:pStyle w:val="ListParagraph"/>
      </w:pPr>
      <w:r>
        <w:t xml:space="preserve">• participation in protocol, treasury or validator governance.</w:t>
      </w:r>
    </w:p>
    <w:p>
      <w:pPr>
        <w:pStyle w:val="Normal"/>
      </w:pPr>
      <w:r>
        <w:t xml:space="preserve">Networks without formal token governance are not automatically deficient. Their adapter measures the actual decision process, including improvement proposals, client governance, miner or validator signalling and transparent social coordination. Confidence falls where decision authority cannot be observed.</w:t>
      </w:r>
    </w:p>
    <w:p>
      <w:pPr>
        <w:pStyle w:val="Heading2"/>
      </w:pPr>
      <w:r>
        <w:t xml:space="preserve">12.6 Developer participation</w:t>
      </w:r>
    </w:p>
    <w:p>
      <w:pPr>
        <w:pStyle w:val="Normal"/>
      </w:pPr>
      <w:r>
        <w:t xml:space="preserve">Developer participation measures sustained productive work rather than total commits. Evidence may include:</w:t>
      </w:r>
    </w:p>
    <w:p>
      <w:pPr>
        <w:pStyle w:val="ListParagraph"/>
      </w:pPr>
      <w:r>
        <w:t xml:space="preserve">• active core and ecosystem developers;</w:t>
      </w:r>
    </w:p>
    <w:p>
      <w:pPr>
        <w:pStyle w:val="ListParagraph"/>
      </w:pPr>
      <w:r>
        <w:t xml:space="preserve">• contributor retention;</w:t>
      </w:r>
    </w:p>
    <w:p>
      <w:pPr>
        <w:pStyle w:val="ListParagraph"/>
      </w:pPr>
      <w:r>
        <w:t xml:space="preserve">• unique organisations contributing;</w:t>
      </w:r>
    </w:p>
    <w:p>
      <w:pPr>
        <w:pStyle w:val="ListParagraph"/>
      </w:pPr>
      <w:r>
        <w:t xml:space="preserve">• reviewed and merged changes;</w:t>
      </w:r>
    </w:p>
    <w:p>
      <w:pPr>
        <w:pStyle w:val="ListParagraph"/>
      </w:pPr>
      <w:r>
        <w:t xml:space="preserve">• release cadence and maintenance responsiveness;</w:t>
      </w:r>
    </w:p>
    <w:p>
      <w:pPr>
        <w:pStyle w:val="ListParagraph"/>
      </w:pPr>
      <w:r>
        <w:t xml:space="preserve">• dependency and client diversity;</w:t>
      </w:r>
    </w:p>
    <w:p>
      <w:pPr>
        <w:pStyle w:val="ListParagraph"/>
      </w:pPr>
      <w:r>
        <w:t xml:space="preserve">• documentation, tooling and application deployment.</w:t>
      </w:r>
    </w:p>
    <w:p>
      <w:pPr>
        <w:pStyle w:val="Normal"/>
      </w:pPr>
      <w:r>
        <w:t xml:space="preserve">Automated commits, generated files, forks and mirrored repositories are filtered where possible. Developer identities are aggregated in a privacy-conscious manner.</w:t>
      </w:r>
    </w:p>
    <w:p>
      <w:pPr>
        <w:pStyle w:val="Heading2"/>
      </w:pPr>
      <w:r>
        <w:t xml:space="preserve">12.7 Distribution and retention</w:t>
      </w:r>
    </w:p>
    <w:p>
      <w:pPr>
        <w:pStyle w:val="Normal"/>
      </w:pPr>
      <w:r>
        <w:t xml:space="preserve">This sub-index reduces scores for participation dominated by a small set of users, validators, delegates, developers or applications. It combines Gini, Herfindahl-Hirschman or top-share measures with retention across time.</w:t>
      </w:r>
    </w:p>
    <w:p>
      <w:pPr>
        <w:pStyle w:val="Normal"/>
      </w:pPr>
      <w:r>
        <w:t xml:space="preserve">Because concentration measures can be sensitive to identity clustering, the adapter publishes both raw-identity and identified-entity results when available.</w:t>
      </w:r>
    </w:p>
    <w:p>
      <w:pPr>
        <w:pStyle w:val="Heading2"/>
      </w:pPr>
      <w:r>
        <w:t xml:space="preserve">12.8 Interpretation</w:t>
      </w:r>
    </w:p>
    <w:p>
      <w:pPr>
        <w:pStyle w:val="Normal"/>
      </w:pPr>
      <w:r>
        <w:t xml:space="preserve">A high OPI indicates that the network is actively maintained and used by a broad, persistent set of participants. It does not mean all governance decisions are good; it measures participation quality and distribution, while PII and VRS capture institutional and control risks.</w:t>
      </w:r>
    </w:p>
    <w:p>
      <w:pPr>
        <w:pStyle w:val="Heading1"/>
        <w:pageBreakBefore/>
      </w:pPr>
      <w:r>
        <w:t xml:space="preserve">13. Decentralised Liquidity Index (DLI)</w:t>
      </w:r>
    </w:p>
    <w:p>
      <w:pPr>
        <w:pStyle w:val="Heading2"/>
      </w:pPr>
      <w:r>
        <w:t xml:space="preserve">13.1 Purpose</w:t>
      </w:r>
    </w:p>
    <w:p>
      <w:pPr>
        <w:pStyle w:val="Normal"/>
      </w:pPr>
      <w:r>
        <w:t xml:space="preserve">DLI measures whether a network supports usable, diversified and resilient on-chain liquidity. It is independent of any future VOX market. This prevents a circular dependency in which VOX liquidity would determine the VTS used to authorise VOX.</w:t>
      </w:r>
    </w:p>
    <w:p>
      <w:pPr>
        <w:pStyle w:val="Heading2"/>
      </w:pPr>
      <w:r>
        <w:t xml:space="preserve">13.2 DLI composition</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Sub-index</w:t>
            </w:r>
          </w:p>
        </w:tc>
        <w:tc>
          <w:tcPr>
            <w:tcW w:w="3033" w:type="dxa"/>
          </w:tcPr>
          <w:p>
            <w:pPr>
              <w:pStyle w:val="TableHeader"/>
            </w:pPr>
            <w:r>
              <w:t xml:space="preserve">Weight</w:t>
            </w:r>
          </w:p>
        </w:tc>
        <w:tc>
          <w:tcPr>
            <w:tcW w:w="3033" w:type="dxa"/>
          </w:tcPr>
          <w:p>
            <w:pPr>
              <w:pStyle w:val="TableHeader"/>
            </w:pPr>
            <w:r>
              <w:t xml:space="preserve">Primary economic meaning</w:t>
            </w:r>
          </w:p>
        </w:tc>
      </w:tr>
      <w:tr>
        <w:trPr>
          <w:cantSplit/>
        </w:trPr>
        <w:tc>
          <w:tcPr>
            <w:tcW w:w="3033" w:type="dxa"/>
          </w:tcPr>
          <w:p>
            <w:pPr>
              <w:pStyle w:val="TableText"/>
            </w:pPr>
            <w:r>
              <w:t xml:space="preserve">Executable depth</w:t>
            </w:r>
          </w:p>
        </w:tc>
        <w:tc>
          <w:tcPr>
            <w:tcW w:w="3033" w:type="dxa"/>
          </w:tcPr>
          <w:p>
            <w:pPr>
              <w:pStyle w:val="TableText"/>
            </w:pPr>
            <w:r>
              <w:t xml:space="preserve">25%</w:t>
            </w:r>
          </w:p>
        </w:tc>
        <w:tc>
          <w:tcPr>
            <w:tcW w:w="3033" w:type="dxa"/>
          </w:tcPr>
          <w:p>
            <w:pPr>
              <w:pStyle w:val="TableText"/>
            </w:pPr>
            <w:r>
              <w:t xml:space="preserve">Capital available near market prices</w:t>
            </w:r>
          </w:p>
        </w:tc>
      </w:tr>
      <w:tr>
        <w:trPr>
          <w:cantSplit/>
        </w:trPr>
        <w:tc>
          <w:tcPr>
            <w:tcW w:w="3033" w:type="dxa"/>
          </w:tcPr>
          <w:p>
            <w:pPr>
              <w:pStyle w:val="TableText"/>
            </w:pPr>
            <w:r>
              <w:t xml:space="preserve">Slippage efficiency</w:t>
            </w:r>
          </w:p>
        </w:tc>
        <w:tc>
          <w:tcPr>
            <w:tcW w:w="3033" w:type="dxa"/>
          </w:tcPr>
          <w:p>
            <w:pPr>
              <w:pStyle w:val="TableText"/>
            </w:pPr>
            <w:r>
              <w:t xml:space="preserve">25%</w:t>
            </w:r>
          </w:p>
        </w:tc>
        <w:tc>
          <w:tcPr>
            <w:tcW w:w="3033" w:type="dxa"/>
          </w:tcPr>
          <w:p>
            <w:pPr>
              <w:pStyle w:val="TableText"/>
            </w:pPr>
            <w:r>
              <w:t xml:space="preserve">Price impact for standardised trade sizes</w:t>
            </w:r>
          </w:p>
        </w:tc>
      </w:tr>
      <w:tr>
        <w:trPr>
          <w:cantSplit/>
        </w:trPr>
        <w:tc>
          <w:tcPr>
            <w:tcW w:w="3033" w:type="dxa"/>
          </w:tcPr>
          <w:p>
            <w:pPr>
              <w:pStyle w:val="TableText"/>
            </w:pPr>
            <w:r>
              <w:t xml:space="preserve">Volume quality</w:t>
            </w:r>
          </w:p>
        </w:tc>
        <w:tc>
          <w:tcPr>
            <w:tcW w:w="3033" w:type="dxa"/>
          </w:tcPr>
          <w:p>
            <w:pPr>
              <w:pStyle w:val="TableText"/>
            </w:pPr>
            <w:r>
              <w:t xml:space="preserve">15%</w:t>
            </w:r>
          </w:p>
        </w:tc>
        <w:tc>
          <w:tcPr>
            <w:tcW w:w="3033" w:type="dxa"/>
          </w:tcPr>
          <w:p>
            <w:pPr>
              <w:pStyle w:val="TableText"/>
            </w:pPr>
            <w:r>
              <w:t xml:space="preserve">Organic and persistent trading activity</w:t>
            </w:r>
          </w:p>
        </w:tc>
      </w:tr>
      <w:tr>
        <w:trPr>
          <w:cantSplit/>
        </w:trPr>
        <w:tc>
          <w:tcPr>
            <w:tcW w:w="3033" w:type="dxa"/>
          </w:tcPr>
          <w:p>
            <w:pPr>
              <w:pStyle w:val="TableText"/>
            </w:pPr>
            <w:r>
              <w:t xml:space="preserve">Venue and asset diversity</w:t>
            </w:r>
          </w:p>
        </w:tc>
        <w:tc>
          <w:tcPr>
            <w:tcW w:w="3033" w:type="dxa"/>
          </w:tcPr>
          <w:p>
            <w:pPr>
              <w:pStyle w:val="TableText"/>
            </w:pPr>
            <w:r>
              <w:t xml:space="preserve">15%</w:t>
            </w:r>
          </w:p>
        </w:tc>
        <w:tc>
          <w:tcPr>
            <w:tcW w:w="3033" w:type="dxa"/>
          </w:tcPr>
          <w:p>
            <w:pPr>
              <w:pStyle w:val="TableText"/>
            </w:pPr>
            <w:r>
              <w:t xml:space="preserve">Breadth of markets and liquidity sources</w:t>
            </w:r>
          </w:p>
        </w:tc>
      </w:tr>
      <w:tr>
        <w:trPr>
          <w:cantSplit/>
        </w:trPr>
        <w:tc>
          <w:tcPr>
            <w:tcW w:w="3033" w:type="dxa"/>
          </w:tcPr>
          <w:p>
            <w:pPr>
              <w:pStyle w:val="TableText"/>
            </w:pPr>
            <w:r>
              <w:t xml:space="preserve">Concentration and stress resilience</w:t>
            </w:r>
          </w:p>
        </w:tc>
        <w:tc>
          <w:tcPr>
            <w:tcW w:w="3033" w:type="dxa"/>
          </w:tcPr>
          <w:p>
            <w:pPr>
              <w:pStyle w:val="TableText"/>
            </w:pPr>
            <w:r>
              <w:t xml:space="preserve">20%</w:t>
            </w:r>
          </w:p>
        </w:tc>
        <w:tc>
          <w:tcPr>
            <w:tcW w:w="3033" w:type="dxa"/>
          </w:tcPr>
          <w:p>
            <w:pPr>
              <w:pStyle w:val="TableText"/>
            </w:pPr>
            <w:r>
              <w:t xml:space="preserve">Ability to retain function under withdrawals and volatility</w:t>
            </w:r>
          </w:p>
        </w:tc>
      </w:tr>
    </w:tbl>
    <w:p>
      <w:pPr>
        <w:jc w:val="center"/>
      </w:pPr>
      <w:r>
        <w:drawing>
          <wp:inline distT="0" distB="0" distL="0" distR="0">
            <wp:extent cx="5638800" cy="296420"/>
            <wp:docPr id="23" name="Figure 23" descr="Specification figure or equation in 13. Decentralised Liquidity Index (DLI); original available in the DOCX"/>
            <a:graphic>
              <a:graphicData uri="http://schemas.openxmlformats.org/drawingml/2006/picture">
                <pic:pic>
                  <pic:nvPicPr>
                    <pic:cNvPr id="0" name="image23.png"/>
                    <pic:cNvPicPr/>
                  </pic:nvPicPr>
                  <pic:blipFill>
                    <a:blip r:embed="rId25"/>
                    <a:stretch>
                      <a:fillRect/>
                    </a:stretch>
                  </pic:blipFill>
                  <pic:spPr>
                    <a:xfrm>
                      <a:off x="0" y="0"/>
                      <a:ext cx="5638800" cy="296420"/>
                    </a:xfrm>
                    <a:prstGeom prst="rect">
                      <a:avLst/>
                    </a:prstGeom>
                  </pic:spPr>
                </pic:pic>
              </a:graphicData>
            </a:graphic>
          </wp:inline>
        </w:drawing>
      </w:r>
    </w:p>
    <w:p>
      <w:pPr>
        <w:pStyle w:val="Heading2"/>
      </w:pPr>
      <w:r>
        <w:t xml:space="preserve">13.3 Executable depth</w:t>
      </w:r>
    </w:p>
    <w:p>
      <w:pPr>
        <w:pStyle w:val="Normal"/>
      </w:pPr>
      <w:r>
        <w:t xml:space="preserve">Total value locked is not executable depth. DLI simulates or observes liquidity available within defined price-impact bands for representative assets and trade sizes. Measurements may include:</w:t>
      </w:r>
    </w:p>
    <w:p>
      <w:pPr>
        <w:pStyle w:val="ListParagraph"/>
      </w:pPr>
      <w:r>
        <w:t xml:space="preserve">• depth within 0.5%, 1% and 2% price impact;</w:t>
      </w:r>
    </w:p>
    <w:p>
      <w:pPr>
        <w:pStyle w:val="ListParagraph"/>
      </w:pPr>
      <w:r>
        <w:t xml:space="preserve">• depth relative to market capitalisation and daily volume;</w:t>
      </w:r>
    </w:p>
    <w:p>
      <w:pPr>
        <w:pStyle w:val="ListParagraph"/>
      </w:pPr>
      <w:r>
        <w:t xml:space="preserve">• stablecoin-to-native, stablecoin-to-stablecoin and major application markets;</w:t>
      </w:r>
    </w:p>
    <w:p>
      <w:pPr>
        <w:pStyle w:val="ListParagraph"/>
      </w:pPr>
      <w:r>
        <w:t xml:space="preserve">• lending liquidity available without extreme utilisation changes;</w:t>
      </w:r>
    </w:p>
    <w:p>
      <w:pPr>
        <w:pStyle w:val="ListParagraph"/>
      </w:pPr>
      <w:r>
        <w:t xml:space="preserve">• derivative open interest supported by credible collateral and liquidation capacity.</w:t>
      </w:r>
    </w:p>
    <w:p>
      <w:pPr>
        <w:pStyle w:val="Heading2"/>
      </w:pPr>
      <w:r>
        <w:t xml:space="preserve">13.4 Slippage efficiency</w:t>
      </w:r>
    </w:p>
    <w:p>
      <w:pPr>
        <w:pStyle w:val="Normal"/>
      </w:pPr>
      <w:r>
        <w:t xml:space="preserve">Slippage is a negative-direction metric. Standard trade sizes may be defined as both absolute reference amounts and proportions of market liquidity. The adapter reports routing assumptions, venues, gas costs and whether prices are quoted from simulations or executed trades.</w:t>
      </w:r>
    </w:p>
    <w:p>
      <w:pPr>
        <w:pStyle w:val="Normal"/>
      </w:pPr>
      <w:r>
        <w:t xml:space="preserve">A network does not receive a high score merely because its native asset has a liquid centralised market. DLI measures on-chain or protocol-integrated financial depth within the canonical network scope.</w:t>
      </w:r>
    </w:p>
    <w:p>
      <w:pPr>
        <w:pStyle w:val="Heading2"/>
      </w:pPr>
      <w:r>
        <w:t xml:space="preserve">13.5 Volume quality</w:t>
      </w:r>
    </w:p>
    <w:p>
      <w:pPr>
        <w:pStyle w:val="Normal"/>
      </w:pPr>
      <w:r>
        <w:t xml:space="preserve">Volume quality filters wash trading, self-routing, excessive incentive dependence and short-lived spikes. It measures:</w:t>
      </w:r>
    </w:p>
    <w:p>
      <w:pPr>
        <w:pStyle w:val="ListParagraph"/>
      </w:pPr>
      <w:r>
        <w:t xml:space="preserve">• persistent organic volume;</w:t>
      </w:r>
    </w:p>
    <w:p>
      <w:pPr>
        <w:pStyle w:val="ListParagraph"/>
      </w:pPr>
      <w:r>
        <w:t xml:space="preserve">• unique trading entities where observable;</w:t>
      </w:r>
    </w:p>
    <w:p>
      <w:pPr>
        <w:pStyle w:val="ListParagraph"/>
      </w:pPr>
      <w:r>
        <w:t xml:space="preserve">• fee-generating volume;</w:t>
      </w:r>
    </w:p>
    <w:p>
      <w:pPr>
        <w:pStyle w:val="ListParagraph"/>
      </w:pPr>
      <w:r>
        <w:t xml:space="preserve">• volume-to-incentive ratio;</w:t>
      </w:r>
    </w:p>
    <w:p>
      <w:pPr>
        <w:pStyle w:val="ListParagraph"/>
      </w:pPr>
      <w:r>
        <w:t xml:space="preserve">• volume distribution across assets and venues;</w:t>
      </w:r>
    </w:p>
    <w:p>
      <w:pPr>
        <w:pStyle w:val="ListParagraph"/>
      </w:pPr>
      <w:r>
        <w:t xml:space="preserve">• consistency during volatile periods.</w:t>
      </w:r>
    </w:p>
    <w:p>
      <w:pPr>
        <w:pStyle w:val="Heading2"/>
      </w:pPr>
      <w:r>
        <w:t xml:space="preserve">13.6 Venue and asset diversity</w:t>
      </w:r>
    </w:p>
    <w:p>
      <w:pPr>
        <w:pStyle w:val="Normal"/>
      </w:pPr>
      <w:r>
        <w:t xml:space="preserve">Liquidity concentrated in one contract, one stablecoin or one external bridge is fragile. Diversity considers:</w:t>
      </w:r>
    </w:p>
    <w:p>
      <w:pPr>
        <w:pStyle w:val="ListParagraph"/>
      </w:pPr>
      <w:r>
        <w:t xml:space="preserve">• independent exchange and lending venues;</w:t>
      </w:r>
    </w:p>
    <w:p>
      <w:pPr>
        <w:pStyle w:val="ListParagraph"/>
      </w:pPr>
      <w:r>
        <w:t xml:space="preserve">• asset categories and quote assets;</w:t>
      </w:r>
    </w:p>
    <w:p>
      <w:pPr>
        <w:pStyle w:val="ListParagraph"/>
      </w:pPr>
      <w:r>
        <w:t xml:space="preserve">• stablecoin issuer concentration;</w:t>
      </w:r>
    </w:p>
    <w:p>
      <w:pPr>
        <w:pStyle w:val="ListParagraph"/>
      </w:pPr>
      <w:r>
        <w:t xml:space="preserve">• oracle and bridge dependencies;</w:t>
      </w:r>
    </w:p>
    <w:p>
      <w:pPr>
        <w:pStyle w:val="ListParagraph"/>
      </w:pPr>
      <w:r>
        <w:t xml:space="preserve">• market-maker or liquidity-provider concentration;</w:t>
      </w:r>
    </w:p>
    <w:p>
      <w:pPr>
        <w:pStyle w:val="ListParagraph"/>
      </w:pPr>
      <w:r>
        <w:t xml:space="preserve">• interoperability across venues.</w:t>
      </w:r>
    </w:p>
    <w:p>
      <w:pPr>
        <w:pStyle w:val="Normal"/>
      </w:pPr>
      <w:r>
        <w:t xml:space="preserve">Diversity does not reward redundant forks controlled by the same entity.</w:t>
      </w:r>
    </w:p>
    <w:p>
      <w:pPr>
        <w:pStyle w:val="Heading2"/>
      </w:pPr>
      <w:r>
        <w:t xml:space="preserve">13.7 Concentration and stress resilience</w:t>
      </w:r>
    </w:p>
    <w:p>
      <w:pPr>
        <w:pStyle w:val="Normal"/>
      </w:pPr>
      <w:r>
        <w:t xml:space="preserve">This component tests how liquidity behaves under stress. Evidence may include:</w:t>
      </w:r>
    </w:p>
    <w:p>
      <w:pPr>
        <w:pStyle w:val="ListParagraph"/>
      </w:pPr>
      <w:r>
        <w:t xml:space="preserve">• top-provider and top-pool share;</w:t>
      </w:r>
    </w:p>
    <w:p>
      <w:pPr>
        <w:pStyle w:val="ListParagraph"/>
      </w:pPr>
      <w:r>
        <w:t xml:space="preserve">• withdrawal simulations;</w:t>
      </w:r>
    </w:p>
    <w:p>
      <w:pPr>
        <w:pStyle w:val="ListParagraph"/>
      </w:pPr>
      <w:r>
        <w:t xml:space="preserve">• historical drawdown in depth;</w:t>
      </w:r>
    </w:p>
    <w:p>
      <w:pPr>
        <w:pStyle w:val="ListParagraph"/>
      </w:pPr>
      <w:r>
        <w:t xml:space="preserve">• slippage during major market shocks;</w:t>
      </w:r>
    </w:p>
    <w:p>
      <w:pPr>
        <w:pStyle w:val="ListParagraph"/>
      </w:pPr>
      <w:r>
        <w:t xml:space="preserve">• liquidation performance;</w:t>
      </w:r>
    </w:p>
    <w:p>
      <w:pPr>
        <w:pStyle w:val="ListParagraph"/>
      </w:pPr>
      <w:r>
        <w:t xml:space="preserve">• recovery time after exploits, de-pegs or bridge interruptions.</w:t>
      </w:r>
    </w:p>
    <w:p>
      <w:pPr>
        <w:pStyle w:val="Heading2"/>
      </w:pPr>
      <w:r>
        <w:t xml:space="preserve">13.8 Canonical asset treatment</w:t>
      </w:r>
    </w:p>
    <w:p>
      <w:pPr>
        <w:pStyle w:val="Normal"/>
      </w:pPr>
      <w:r>
        <w:t xml:space="preserve">Wrapped and bridged assets require explicit attribution. DLI records origin-chain dependency, bridge mechanism and redemption risk. The same underlying liquidity cannot be counted as independent depth on multiple networks without adjustment.</w:t>
      </w:r>
    </w:p>
    <w:p>
      <w:pPr>
        <w:pStyle w:val="Heading2"/>
      </w:pPr>
      <w:r>
        <w:t xml:space="preserve">13.9 Interpretation</w:t>
      </w:r>
    </w:p>
    <w:p>
      <w:pPr>
        <w:pStyle w:val="Normal"/>
      </w:pPr>
      <w:r>
        <w:t xml:space="preserve">A high DLI indicates that meaningful value can be exchanged with limited price impact across diversified venues and that liquidity has demonstrated resilience. It does not guarantee future liquidity or remove smart-contract, oracle, stablecoin or bridge risk.</w:t>
      </w:r>
    </w:p>
    <w:p>
      <w:pPr>
        <w:pStyle w:val="Heading1"/>
        <w:pageBreakBefore/>
      </w:pPr>
      <w:r>
        <w:t xml:space="preserve">14. Protocol Integrity Index (PII)</w:t>
      </w:r>
    </w:p>
    <w:p>
      <w:pPr>
        <w:pStyle w:val="Heading2"/>
      </w:pPr>
      <w:r>
        <w:t xml:space="preserve">14.1 Purpose</w:t>
      </w:r>
    </w:p>
    <w:p>
      <w:pPr>
        <w:pStyle w:val="Normal"/>
      </w:pPr>
      <w:r>
        <w:t xml:space="preserve">PII measures the current structural integrity of the protocol: security, decentralisation, availability, operational discipline and controlled upgrade capability. It replaces the earlier Public Trust Index, which mixed objective protocol evidence with subjective sentiment.</w:t>
      </w:r>
    </w:p>
    <w:p>
      <w:pPr>
        <w:pStyle w:val="Heading2"/>
      </w:pPr>
      <w:r>
        <w:t xml:space="preserve">14.2 PII composition</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Sub-index</w:t>
            </w:r>
          </w:p>
        </w:tc>
        <w:tc>
          <w:tcPr>
            <w:tcW w:w="3033" w:type="dxa"/>
          </w:tcPr>
          <w:p>
            <w:pPr>
              <w:pStyle w:val="TableHeader"/>
            </w:pPr>
            <w:r>
              <w:t xml:space="preserve">Weight</w:t>
            </w:r>
          </w:p>
        </w:tc>
        <w:tc>
          <w:tcPr>
            <w:tcW w:w="3033" w:type="dxa"/>
          </w:tcPr>
          <w:p>
            <w:pPr>
              <w:pStyle w:val="TableHeader"/>
            </w:pPr>
            <w:r>
              <w:t xml:space="preserve">Primary economic meaning</w:t>
            </w:r>
          </w:p>
        </w:tc>
      </w:tr>
      <w:tr>
        <w:trPr>
          <w:cantSplit/>
        </w:trPr>
        <w:tc>
          <w:tcPr>
            <w:tcW w:w="3033" w:type="dxa"/>
          </w:tcPr>
          <w:p>
            <w:pPr>
              <w:pStyle w:val="TableText"/>
            </w:pPr>
            <w:r>
              <w:t xml:space="preserve">Security track record</w:t>
            </w:r>
          </w:p>
        </w:tc>
        <w:tc>
          <w:tcPr>
            <w:tcW w:w="3033" w:type="dxa"/>
          </w:tcPr>
          <w:p>
            <w:pPr>
              <w:pStyle w:val="TableText"/>
            </w:pPr>
            <w:r>
              <w:t xml:space="preserve">25%</w:t>
            </w:r>
          </w:p>
        </w:tc>
        <w:tc>
          <w:tcPr>
            <w:tcW w:w="3033" w:type="dxa"/>
          </w:tcPr>
          <w:p>
            <w:pPr>
              <w:pStyle w:val="TableText"/>
            </w:pPr>
            <w:r>
              <w:t xml:space="preserve">Resistance to exploits and effective remediation</w:t>
            </w:r>
          </w:p>
        </w:tc>
      </w:tr>
      <w:tr>
        <w:trPr>
          <w:cantSplit/>
        </w:trPr>
        <w:tc>
          <w:tcPr>
            <w:tcW w:w="3033" w:type="dxa"/>
          </w:tcPr>
          <w:p>
            <w:pPr>
              <w:pStyle w:val="TableText"/>
            </w:pPr>
            <w:r>
              <w:t xml:space="preserve">Consensus and control decentralisation</w:t>
            </w:r>
          </w:p>
        </w:tc>
        <w:tc>
          <w:tcPr>
            <w:tcW w:w="3033" w:type="dxa"/>
          </w:tcPr>
          <w:p>
            <w:pPr>
              <w:pStyle w:val="TableText"/>
            </w:pPr>
            <w:r>
              <w:t xml:space="preserve">20%</w:t>
            </w:r>
          </w:p>
        </w:tc>
        <w:tc>
          <w:tcPr>
            <w:tcW w:w="3033" w:type="dxa"/>
          </w:tcPr>
          <w:p>
            <w:pPr>
              <w:pStyle w:val="TableText"/>
            </w:pPr>
            <w:r>
              <w:t xml:space="preserve">Distribution of effective system control</w:t>
            </w:r>
          </w:p>
        </w:tc>
      </w:tr>
      <w:tr>
        <w:trPr>
          <w:cantSplit/>
        </w:trPr>
        <w:tc>
          <w:tcPr>
            <w:tcW w:w="3033" w:type="dxa"/>
          </w:tcPr>
          <w:p>
            <w:pPr>
              <w:pStyle w:val="TableText"/>
            </w:pPr>
            <w:r>
              <w:t xml:space="preserve">Infrastructure diversity</w:t>
            </w:r>
          </w:p>
        </w:tc>
        <w:tc>
          <w:tcPr>
            <w:tcW w:w="3033" w:type="dxa"/>
          </w:tcPr>
          <w:p>
            <w:pPr>
              <w:pStyle w:val="TableText"/>
            </w:pPr>
            <w:r>
              <w:t xml:space="preserve">15%</w:t>
            </w:r>
          </w:p>
        </w:tc>
        <w:tc>
          <w:tcPr>
            <w:tcW w:w="3033" w:type="dxa"/>
          </w:tcPr>
          <w:p>
            <w:pPr>
              <w:pStyle w:val="TableText"/>
            </w:pPr>
            <w:r>
              <w:t xml:space="preserve">Independence across clients, hosting and critical services</w:t>
            </w:r>
          </w:p>
        </w:tc>
      </w:tr>
      <w:tr>
        <w:trPr>
          <w:cantSplit/>
        </w:trPr>
        <w:tc>
          <w:tcPr>
            <w:tcW w:w="3033" w:type="dxa"/>
          </w:tcPr>
          <w:p>
            <w:pPr>
              <w:pStyle w:val="TableText"/>
            </w:pPr>
            <w:r>
              <w:t xml:space="preserve">Availability and finality</w:t>
            </w:r>
          </w:p>
        </w:tc>
        <w:tc>
          <w:tcPr>
            <w:tcW w:w="3033" w:type="dxa"/>
          </w:tcPr>
          <w:p>
            <w:pPr>
              <w:pStyle w:val="TableText"/>
            </w:pPr>
            <w:r>
              <w:t xml:space="preserve">20%</w:t>
            </w:r>
          </w:p>
        </w:tc>
        <w:tc>
          <w:tcPr>
            <w:tcW w:w="3033" w:type="dxa"/>
          </w:tcPr>
          <w:p>
            <w:pPr>
              <w:pStyle w:val="TableText"/>
            </w:pPr>
            <w:r>
              <w:t xml:space="preserve">Reliable production and settlement</w:t>
            </w:r>
          </w:p>
        </w:tc>
      </w:tr>
      <w:tr>
        <w:trPr>
          <w:cantSplit/>
        </w:trPr>
        <w:tc>
          <w:tcPr>
            <w:tcW w:w="3033" w:type="dxa"/>
          </w:tcPr>
          <w:p>
            <w:pPr>
              <w:pStyle w:val="TableText"/>
            </w:pPr>
            <w:r>
              <w:t xml:space="preserve">Governance and upgrade integrity</w:t>
            </w:r>
          </w:p>
        </w:tc>
        <w:tc>
          <w:tcPr>
            <w:tcW w:w="3033" w:type="dxa"/>
          </w:tcPr>
          <w:p>
            <w:pPr>
              <w:pStyle w:val="TableText"/>
            </w:pPr>
            <w:r>
              <w:t xml:space="preserve">20%</w:t>
            </w:r>
          </w:p>
        </w:tc>
        <w:tc>
          <w:tcPr>
            <w:tcW w:w="3033" w:type="dxa"/>
          </w:tcPr>
          <w:p>
            <w:pPr>
              <w:pStyle w:val="TableText"/>
            </w:pPr>
            <w:r>
              <w:t xml:space="preserve">Transparent, constrained and recoverable protocol change</w:t>
            </w:r>
          </w:p>
        </w:tc>
      </w:tr>
    </w:tbl>
    <w:p>
      <w:pPr>
        <w:jc w:val="center"/>
      </w:pPr>
      <w:r>
        <w:drawing>
          <wp:inline distT="0" distB="0" distL="0" distR="0">
            <wp:extent cx="5638800" cy="298274"/>
            <wp:docPr id="24" name="Figure 24" descr="Specification figure or equation in 14. Protocol Integrity Index (PII); original available in the DOCX"/>
            <a:graphic>
              <a:graphicData uri="http://schemas.openxmlformats.org/drawingml/2006/picture">
                <pic:pic>
                  <pic:nvPicPr>
                    <pic:cNvPr id="0" name="image24.png"/>
                    <pic:cNvPicPr/>
                  </pic:nvPicPr>
                  <pic:blipFill>
                    <a:blip r:embed="rId26"/>
                    <a:stretch>
                      <a:fillRect/>
                    </a:stretch>
                  </pic:blipFill>
                  <pic:spPr>
                    <a:xfrm>
                      <a:off x="0" y="0"/>
                      <a:ext cx="5638800" cy="298274"/>
                    </a:xfrm>
                    <a:prstGeom prst="rect">
                      <a:avLst/>
                    </a:prstGeom>
                  </pic:spPr>
                </pic:pic>
              </a:graphicData>
            </a:graphic>
          </wp:inline>
        </w:drawing>
      </w:r>
    </w:p>
    <w:p>
      <w:pPr>
        <w:pStyle w:val="Heading2"/>
      </w:pPr>
      <w:r>
        <w:t xml:space="preserve">14.3 Security track record</w:t>
      </w:r>
    </w:p>
    <w:p>
      <w:pPr>
        <w:pStyle w:val="Normal"/>
      </w:pPr>
      <w:r>
        <w:t xml:space="preserve">Security evidence includes:</w:t>
      </w:r>
    </w:p>
    <w:p>
      <w:pPr>
        <w:pStyle w:val="ListParagraph"/>
      </w:pPr>
      <w:r>
        <w:t xml:space="preserve">• consensus and protocol exploits;</w:t>
      </w:r>
    </w:p>
    <w:p>
      <w:pPr>
        <w:pStyle w:val="ListParagraph"/>
      </w:pPr>
      <w:r>
        <w:t xml:space="preserve">• bridge or canonical-contract failures attributable to the network;</w:t>
      </w:r>
    </w:p>
    <w:p>
      <w:pPr>
        <w:pStyle w:val="ListParagraph"/>
      </w:pPr>
      <w:r>
        <w:t xml:space="preserve">• loss severity relative to economic size;</w:t>
      </w:r>
    </w:p>
    <w:p>
      <w:pPr>
        <w:pStyle w:val="ListParagraph"/>
      </w:pPr>
      <w:r>
        <w:t xml:space="preserve">• audit coverage and independence;</w:t>
      </w:r>
    </w:p>
    <w:p>
      <w:pPr>
        <w:pStyle w:val="ListParagraph"/>
      </w:pPr>
      <w:r>
        <w:t xml:space="preserve">• bug-bounty scope and response;</w:t>
      </w:r>
    </w:p>
    <w:p>
      <w:pPr>
        <w:pStyle w:val="ListParagraph"/>
      </w:pPr>
      <w:r>
        <w:t xml:space="preserve">• time to detection, containment and remediation;</w:t>
      </w:r>
    </w:p>
    <w:p>
      <w:pPr>
        <w:pStyle w:val="ListParagraph"/>
      </w:pPr>
      <w:r>
        <w:t xml:space="preserve">• recurrence of known vulnerability classes;</w:t>
      </w:r>
    </w:p>
    <w:p>
      <w:pPr>
        <w:pStyle w:val="ListParagraph"/>
      </w:pPr>
      <w:r>
        <w:t xml:space="preserve">• post-incident disclosure quality.</w:t>
      </w:r>
    </w:p>
    <w:p>
      <w:pPr>
        <w:pStyle w:val="Normal"/>
      </w:pPr>
      <w:r>
        <w:t xml:space="preserve">An absence of reported incidents does not automatically indicate strong security. Confidence depends on code maturity, audit evidence, open-source visibility and attack surface.</w:t>
      </w:r>
    </w:p>
    <w:p>
      <w:pPr>
        <w:pStyle w:val="Heading2"/>
      </w:pPr>
      <w:r>
        <w:t xml:space="preserve">14.4 Consensus and control decentralisation</w:t>
      </w:r>
    </w:p>
    <w:p>
      <w:pPr>
        <w:pStyle w:val="Normal"/>
      </w:pPr>
      <w:r>
        <w:t xml:space="preserve">PII measures effective control, not marketing labels. Depending on architecture, evidence may include:</w:t>
      </w:r>
    </w:p>
    <w:p>
      <w:pPr>
        <w:pStyle w:val="ListParagraph"/>
      </w:pPr>
      <w:r>
        <w:t xml:space="preserve">• Nakamoto-style coefficients across block production, stake, mining work or governance;</w:t>
      </w:r>
    </w:p>
    <w:p>
      <w:pPr>
        <w:pStyle w:val="ListParagraph"/>
      </w:pPr>
      <w:r>
        <w:t xml:space="preserve">• top-entity control share;</w:t>
      </w:r>
    </w:p>
    <w:p>
      <w:pPr>
        <w:pStyle w:val="ListParagraph"/>
      </w:pPr>
      <w:r>
        <w:t xml:space="preserve">• delegation concentration;</w:t>
      </w:r>
    </w:p>
    <w:p>
      <w:pPr>
        <w:pStyle w:val="ListParagraph"/>
      </w:pPr>
      <w:r>
        <w:t xml:space="preserve">• sequencer, prover or committee control;</w:t>
      </w:r>
    </w:p>
    <w:p>
      <w:pPr>
        <w:pStyle w:val="ListParagraph"/>
      </w:pPr>
      <w:r>
        <w:t xml:space="preserve">• emergency-key and multisignature power;</w:t>
      </w:r>
    </w:p>
    <w:p>
      <w:pPr>
        <w:pStyle w:val="ListParagraph"/>
      </w:pPr>
      <w:r>
        <w:t xml:space="preserve">• censorship and forced-exit mechanisms;</w:t>
      </w:r>
    </w:p>
    <w:p>
      <w:pPr>
        <w:pStyle w:val="ListParagraph"/>
      </w:pPr>
      <w:r>
        <w:t xml:space="preserve">• ownership relationships among nominally separate operators.</w:t>
      </w:r>
    </w:p>
    <w:p>
      <w:pPr>
        <w:pStyle w:val="Normal"/>
      </w:pPr>
      <w:r>
        <w:t xml:space="preserve">Decentralisation is multidimensional, as academic studies of consensus and governance concentration have shown [9–10]. Voxonomics therefore publishes component measures rather than one unverifiable claim.</w:t>
      </w:r>
    </w:p>
    <w:p>
      <w:pPr>
        <w:pStyle w:val="Heading2"/>
      </w:pPr>
      <w:r>
        <w:t xml:space="preserve">14.5 Infrastructure diversity</w:t>
      </w:r>
    </w:p>
    <w:p>
      <w:pPr>
        <w:pStyle w:val="Normal"/>
      </w:pPr>
      <w:r>
        <w:t xml:space="preserve">Infrastructure diversity examines correlated failure risk across:</w:t>
      </w:r>
    </w:p>
    <w:p>
      <w:pPr>
        <w:pStyle w:val="ListParagraph"/>
      </w:pPr>
      <w:r>
        <w:t xml:space="preserve">• client implementations;</w:t>
      </w:r>
    </w:p>
    <w:p>
      <w:pPr>
        <w:pStyle w:val="ListParagraph"/>
      </w:pPr>
      <w:r>
        <w:t xml:space="preserve">• operating systems and software stacks;</w:t>
      </w:r>
    </w:p>
    <w:p>
      <w:pPr>
        <w:pStyle w:val="ListParagraph"/>
      </w:pPr>
      <w:r>
        <w:t xml:space="preserve">• cloud and hosting providers;</w:t>
      </w:r>
    </w:p>
    <w:p>
      <w:pPr>
        <w:pStyle w:val="ListParagraph"/>
      </w:pPr>
      <w:r>
        <w:t xml:space="preserve">• geographic and jurisdictional distribution;</w:t>
      </w:r>
    </w:p>
    <w:p>
      <w:pPr>
        <w:pStyle w:val="ListParagraph"/>
      </w:pPr>
      <w:r>
        <w:t xml:space="preserve">• RPC and relay dependencies;</w:t>
      </w:r>
    </w:p>
    <w:p>
      <w:pPr>
        <w:pStyle w:val="ListParagraph"/>
      </w:pPr>
      <w:r>
        <w:t xml:space="preserve">• oracle, data-availability and bridge infrastructure;</w:t>
      </w:r>
    </w:p>
    <w:p>
      <w:pPr>
        <w:pStyle w:val="ListParagraph"/>
      </w:pPr>
      <w:r>
        <w:t xml:space="preserve">• key maintainers and repositories.</w:t>
      </w:r>
    </w:p>
    <w:p>
      <w:pPr>
        <w:pStyle w:val="Normal"/>
      </w:pPr>
      <w:r>
        <w:t xml:space="preserve">Where exact infrastructure data is unavailable, the adapter reports the evidence class and lowers confidence rather than inventing precision.</w:t>
      </w:r>
    </w:p>
    <w:p>
      <w:pPr>
        <w:pStyle w:val="Heading2"/>
      </w:pPr>
      <w:r>
        <w:t xml:space="preserve">14.6 Availability and finality</w:t>
      </w:r>
    </w:p>
    <w:p>
      <w:pPr>
        <w:pStyle w:val="Normal"/>
      </w:pPr>
      <w:r>
        <w:t xml:space="preserve">Availability measures whether the network produces valid state consistently. Evidence may include:</w:t>
      </w:r>
    </w:p>
    <w:p>
      <w:pPr>
        <w:pStyle w:val="ListParagraph"/>
      </w:pPr>
      <w:r>
        <w:t xml:space="preserve">• uptime and halted time;</w:t>
      </w:r>
    </w:p>
    <w:p>
      <w:pPr>
        <w:pStyle w:val="ListParagraph"/>
      </w:pPr>
      <w:r>
        <w:t xml:space="preserve">• missed blocks or slots;</w:t>
      </w:r>
    </w:p>
    <w:p>
      <w:pPr>
        <w:pStyle w:val="ListParagraph"/>
      </w:pPr>
      <w:r>
        <w:t xml:space="preserve">• finality delay and reorganisation depth;</w:t>
      </w:r>
    </w:p>
    <w:p>
      <w:pPr>
        <w:pStyle w:val="ListParagraph"/>
      </w:pPr>
      <w:r>
        <w:t xml:space="preserve">• degraded-mode operation;</w:t>
      </w:r>
    </w:p>
    <w:p>
      <w:pPr>
        <w:pStyle w:val="ListParagraph"/>
      </w:pPr>
      <w:r>
        <w:t xml:space="preserve">• censorship or liveness incidents;</w:t>
      </w:r>
    </w:p>
    <w:p>
      <w:pPr>
        <w:pStyle w:val="ListParagraph"/>
      </w:pPr>
      <w:r>
        <w:t xml:space="preserve">• recovery time;</w:t>
      </w:r>
    </w:p>
    <w:p>
      <w:pPr>
        <w:pStyle w:val="ListParagraph"/>
      </w:pPr>
      <w:r>
        <w:t xml:space="preserve">• user ability to exit during disruption.</w:t>
      </w:r>
    </w:p>
    <w:p>
      <w:pPr>
        <w:pStyle w:val="Normal"/>
      </w:pPr>
      <w:r>
        <w:t xml:space="preserve">A high-throughput chain with frequent halts cannot offset availability weakness through transaction count because throughput belongs to PoV and integrity belongs to PII.</w:t>
      </w:r>
    </w:p>
    <w:p>
      <w:pPr>
        <w:pStyle w:val="Heading2"/>
      </w:pPr>
      <w:r>
        <w:t xml:space="preserve">14.7 Governance and upgrade integrity</w:t>
      </w:r>
    </w:p>
    <w:p>
      <w:pPr>
        <w:pStyle w:val="Normal"/>
      </w:pPr>
      <w:r>
        <w:t xml:space="preserve">Protocol change is necessary, but unconstrained upgrade power creates risk. The component assesses:</w:t>
      </w:r>
    </w:p>
    <w:p>
      <w:pPr>
        <w:pStyle w:val="ListParagraph"/>
      </w:pPr>
      <w:r>
        <w:t xml:space="preserve">• transparency of specifications and releases;</w:t>
      </w:r>
    </w:p>
    <w:p>
      <w:pPr>
        <w:pStyle w:val="ListParagraph"/>
      </w:pPr>
      <w:r>
        <w:t xml:space="preserve">• review and testing processes;</w:t>
      </w:r>
    </w:p>
    <w:p>
      <w:pPr>
        <w:pStyle w:val="ListParagraph"/>
      </w:pPr>
      <w:r>
        <w:t xml:space="preserve">• notice periods and timelocks;</w:t>
      </w:r>
    </w:p>
    <w:p>
      <w:pPr>
        <w:pStyle w:val="ListParagraph"/>
      </w:pPr>
      <w:r>
        <w:t xml:space="preserve">• emergency powers and key management;</w:t>
      </w:r>
    </w:p>
    <w:p>
      <w:pPr>
        <w:pStyle w:val="ListParagraph"/>
      </w:pPr>
      <w:r>
        <w:t xml:space="preserve">• rollback and recovery procedures;</w:t>
      </w:r>
    </w:p>
    <w:p>
      <w:pPr>
        <w:pStyle w:val="ListParagraph"/>
      </w:pPr>
      <w:r>
        <w:t xml:space="preserve">• client compatibility and migration planning;</w:t>
      </w:r>
    </w:p>
    <w:p>
      <w:pPr>
        <w:pStyle w:val="ListParagraph"/>
      </w:pPr>
      <w:r>
        <w:t xml:space="preserve">• separation of proposer, approver and executor roles;</w:t>
      </w:r>
    </w:p>
    <w:p>
      <w:pPr>
        <w:pStyle w:val="ListParagraph"/>
      </w:pPr>
      <w:r>
        <w:t xml:space="preserve">• public disclosure of material changes.</w:t>
      </w:r>
    </w:p>
    <w:p>
      <w:pPr>
        <w:pStyle w:val="Heading2"/>
      </w:pPr>
      <w:r>
        <w:t xml:space="preserve">14.8 Interpretation</w:t>
      </w:r>
    </w:p>
    <w:p>
      <w:pPr>
        <w:pStyle w:val="Normal"/>
      </w:pPr>
      <w:r>
        <w:t xml:space="preserve">A high PII indicates that the network is currently secure, distributed, available and governed through credible operational controls. ERI then asks whether those strengths persist under stress.</w:t>
      </w:r>
    </w:p>
    <w:p>
      <w:pPr>
        <w:pStyle w:val="Heading1"/>
        <w:pageBreakBefore/>
      </w:pPr>
      <w:r>
        <w:t xml:space="preserve">15. Real-World Adoption Index (RWAI)</w:t>
      </w:r>
    </w:p>
    <w:p>
      <w:pPr>
        <w:pStyle w:val="Heading2"/>
      </w:pPr>
      <w:r>
        <w:t xml:space="preserve">15.1 Purpose</w:t>
      </w:r>
    </w:p>
    <w:p>
      <w:pPr>
        <w:pStyle w:val="Normal"/>
      </w:pPr>
      <w:r>
        <w:t xml:space="preserve">RWAI measures verifiable connection between a blockchain and economic activity outside purely endogenous crypto speculation. It replaces the narrower Real-World Asset Index. Tokenised assets remain important, but adoption also includes payments, settlement, enterprise use and public infrastructure.</w:t>
      </w:r>
    </w:p>
    <w:p>
      <w:pPr>
        <w:pStyle w:val="Heading2"/>
      </w:pPr>
      <w:r>
        <w:t xml:space="preserve">15.2 RWAI composition</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Sub-index</w:t>
            </w:r>
          </w:p>
        </w:tc>
        <w:tc>
          <w:tcPr>
            <w:tcW w:w="3033" w:type="dxa"/>
          </w:tcPr>
          <w:p>
            <w:pPr>
              <w:pStyle w:val="TableHeader"/>
            </w:pPr>
            <w:r>
              <w:t xml:space="preserve">Weight</w:t>
            </w:r>
          </w:p>
        </w:tc>
        <w:tc>
          <w:tcPr>
            <w:tcW w:w="3033" w:type="dxa"/>
          </w:tcPr>
          <w:p>
            <w:pPr>
              <w:pStyle w:val="TableHeader"/>
            </w:pPr>
            <w:r>
              <w:t xml:space="preserve">Primary economic meaning</w:t>
            </w:r>
          </w:p>
        </w:tc>
      </w:tr>
      <w:tr>
        <w:trPr>
          <w:cantSplit/>
        </w:trPr>
        <w:tc>
          <w:tcPr>
            <w:tcW w:w="3033" w:type="dxa"/>
          </w:tcPr>
          <w:p>
            <w:pPr>
              <w:pStyle w:val="TableText"/>
            </w:pPr>
            <w:r>
              <w:t xml:space="preserve">Real-world settlement value</w:t>
            </w:r>
          </w:p>
        </w:tc>
        <w:tc>
          <w:tcPr>
            <w:tcW w:w="3033" w:type="dxa"/>
          </w:tcPr>
          <w:p>
            <w:pPr>
              <w:pStyle w:val="TableText"/>
            </w:pPr>
            <w:r>
              <w:t xml:space="preserve">25%</w:t>
            </w:r>
          </w:p>
        </w:tc>
        <w:tc>
          <w:tcPr>
            <w:tcW w:w="3033" w:type="dxa"/>
          </w:tcPr>
          <w:p>
            <w:pPr>
              <w:pStyle w:val="TableText"/>
            </w:pPr>
            <w:r>
              <w:t xml:space="preserve">Verified economic settlement connected to external goods, services or claims</w:t>
            </w:r>
          </w:p>
        </w:tc>
      </w:tr>
      <w:tr>
        <w:trPr>
          <w:cantSplit/>
        </w:trPr>
        <w:tc>
          <w:tcPr>
            <w:tcW w:w="3033" w:type="dxa"/>
          </w:tcPr>
          <w:p>
            <w:pPr>
              <w:pStyle w:val="TableText"/>
            </w:pPr>
            <w:r>
              <w:t xml:space="preserve">Stablecoin and payment use</w:t>
            </w:r>
          </w:p>
        </w:tc>
        <w:tc>
          <w:tcPr>
            <w:tcW w:w="3033" w:type="dxa"/>
          </w:tcPr>
          <w:p>
            <w:pPr>
              <w:pStyle w:val="TableText"/>
            </w:pPr>
            <w:r>
              <w:t xml:space="preserve">20%</w:t>
            </w:r>
          </w:p>
        </w:tc>
        <w:tc>
          <w:tcPr>
            <w:tcW w:w="3033" w:type="dxa"/>
          </w:tcPr>
          <w:p>
            <w:pPr>
              <w:pStyle w:val="TableText"/>
            </w:pPr>
            <w:r>
              <w:t xml:space="preserve">Payment and treasury activity using stable-value instruments</w:t>
            </w:r>
          </w:p>
        </w:tc>
      </w:tr>
      <w:tr>
        <w:trPr>
          <w:cantSplit/>
        </w:trPr>
        <w:tc>
          <w:tcPr>
            <w:tcW w:w="3033" w:type="dxa"/>
          </w:tcPr>
          <w:p>
            <w:pPr>
              <w:pStyle w:val="TableText"/>
            </w:pPr>
            <w:r>
              <w:t xml:space="preserve">Tokenised asset value and quality</w:t>
            </w:r>
          </w:p>
        </w:tc>
        <w:tc>
          <w:tcPr>
            <w:tcW w:w="3033" w:type="dxa"/>
          </w:tcPr>
          <w:p>
            <w:pPr>
              <w:pStyle w:val="TableText"/>
            </w:pPr>
            <w:r>
              <w:t xml:space="preserve">20%</w:t>
            </w:r>
          </w:p>
        </w:tc>
        <w:tc>
          <w:tcPr>
            <w:tcW w:w="3033" w:type="dxa"/>
          </w:tcPr>
          <w:p>
            <w:pPr>
              <w:pStyle w:val="TableText"/>
            </w:pPr>
            <w:r>
              <w:t xml:space="preserve">Credible on-chain representation of external assets</w:t>
            </w:r>
          </w:p>
        </w:tc>
      </w:tr>
      <w:tr>
        <w:trPr>
          <w:cantSplit/>
        </w:trPr>
        <w:tc>
          <w:tcPr>
            <w:tcW w:w="3033" w:type="dxa"/>
          </w:tcPr>
          <w:p>
            <w:pPr>
              <w:pStyle w:val="TableText"/>
            </w:pPr>
            <w:r>
              <w:t xml:space="preserve">Adoption diversity and persistence</w:t>
            </w:r>
          </w:p>
        </w:tc>
        <w:tc>
          <w:tcPr>
            <w:tcW w:w="3033" w:type="dxa"/>
          </w:tcPr>
          <w:p>
            <w:pPr>
              <w:pStyle w:val="TableText"/>
            </w:pPr>
            <w:r>
              <w:t xml:space="preserve">20%</w:t>
            </w:r>
          </w:p>
        </w:tc>
        <w:tc>
          <w:tcPr>
            <w:tcW w:w="3033" w:type="dxa"/>
          </w:tcPr>
          <w:p>
            <w:pPr>
              <w:pStyle w:val="TableText"/>
            </w:pPr>
            <w:r>
              <w:t xml:space="preserve">Breadth across sectors, jurisdictions and use cases</w:t>
            </w:r>
          </w:p>
        </w:tc>
      </w:tr>
      <w:tr>
        <w:trPr>
          <w:cantSplit/>
        </w:trPr>
        <w:tc>
          <w:tcPr>
            <w:tcW w:w="3033" w:type="dxa"/>
          </w:tcPr>
          <w:p>
            <w:pPr>
              <w:pStyle w:val="TableText"/>
            </w:pPr>
            <w:r>
              <w:t xml:space="preserve">External-verification integrity</w:t>
            </w:r>
          </w:p>
        </w:tc>
        <w:tc>
          <w:tcPr>
            <w:tcW w:w="3033" w:type="dxa"/>
          </w:tcPr>
          <w:p>
            <w:pPr>
              <w:pStyle w:val="TableText"/>
            </w:pPr>
            <w:r>
              <w:t xml:space="preserve">15%</w:t>
            </w:r>
          </w:p>
        </w:tc>
        <w:tc>
          <w:tcPr>
            <w:tcW w:w="3033" w:type="dxa"/>
          </w:tcPr>
          <w:p>
            <w:pPr>
              <w:pStyle w:val="TableText"/>
            </w:pPr>
            <w:r>
              <w:t xml:space="preserve">Quality of legal, custody, oracle and reporting links</w:t>
            </w:r>
          </w:p>
        </w:tc>
      </w:tr>
    </w:tbl>
    <w:p>
      <w:pPr>
        <w:jc w:val="center"/>
      </w:pPr>
      <w:r>
        <w:drawing>
          <wp:inline distT="0" distB="0" distL="0" distR="0">
            <wp:extent cx="5638800" cy="284309"/>
            <wp:docPr id="25" name="Figure 25" descr="Specification figure or equation in 15. Real-World Adoption Index (RWAI); original available in the DOCX"/>
            <a:graphic>
              <a:graphicData uri="http://schemas.openxmlformats.org/drawingml/2006/picture">
                <pic:pic>
                  <pic:nvPicPr>
                    <pic:cNvPr id="0" name="image25.png"/>
                    <pic:cNvPicPr/>
                  </pic:nvPicPr>
                  <pic:blipFill>
                    <a:blip r:embed="rId27"/>
                    <a:stretch>
                      <a:fillRect/>
                    </a:stretch>
                  </pic:blipFill>
                  <pic:spPr>
                    <a:xfrm>
                      <a:off x="0" y="0"/>
                      <a:ext cx="5638800" cy="284309"/>
                    </a:xfrm>
                    <a:prstGeom prst="rect">
                      <a:avLst/>
                    </a:prstGeom>
                  </pic:spPr>
                </pic:pic>
              </a:graphicData>
            </a:graphic>
          </wp:inline>
        </w:drawing>
      </w:r>
    </w:p>
    <w:p>
      <w:pPr>
        <w:pStyle w:val="Heading2"/>
      </w:pPr>
      <w:r>
        <w:t xml:space="preserve">15.3 Real-world settlement value</w:t>
      </w:r>
    </w:p>
    <w:p>
      <w:pPr>
        <w:pStyle w:val="Normal"/>
      </w:pPr>
      <w:r>
        <w:t xml:space="preserve">This component measures settlement associated with identifiable external economic purpose, including:</w:t>
      </w:r>
    </w:p>
    <w:p>
      <w:pPr>
        <w:pStyle w:val="ListParagraph"/>
      </w:pPr>
      <w:r>
        <w:t xml:space="preserve">• merchant and remittance payments;</w:t>
      </w:r>
    </w:p>
    <w:p>
      <w:pPr>
        <w:pStyle w:val="ListParagraph"/>
      </w:pPr>
      <w:r>
        <w:t xml:space="preserve">• payroll and contractor settlement;</w:t>
      </w:r>
    </w:p>
    <w:p>
      <w:pPr>
        <w:pStyle w:val="ListParagraph"/>
      </w:pPr>
      <w:r>
        <w:t xml:space="preserve">• business-to-business payments;</w:t>
      </w:r>
    </w:p>
    <w:p>
      <w:pPr>
        <w:pStyle w:val="ListParagraph"/>
      </w:pPr>
      <w:r>
        <w:t xml:space="preserve">• trade finance and invoice settlement;</w:t>
      </w:r>
    </w:p>
    <w:p>
      <w:pPr>
        <w:pStyle w:val="ListParagraph"/>
      </w:pPr>
      <w:r>
        <w:t xml:space="preserve">• public-sector or regulated financial settlement;</w:t>
      </w:r>
    </w:p>
    <w:p>
      <w:pPr>
        <w:pStyle w:val="ListParagraph"/>
      </w:pPr>
      <w:r>
        <w:t xml:space="preserve">• delivery-versus-payment and asset servicing;</w:t>
      </w:r>
    </w:p>
    <w:p>
      <w:pPr>
        <w:pStyle w:val="ListParagraph"/>
      </w:pPr>
      <w:r>
        <w:t xml:space="preserve">• machine or infrastructure payments connected to external services.</w:t>
      </w:r>
    </w:p>
    <w:p>
      <w:pPr>
        <w:pStyle w:val="Normal"/>
      </w:pPr>
      <w:r>
        <w:t xml:space="preserve">Claims require verifiable evidence. Marketing partnerships without measurable on-chain use do not increase the score.</w:t>
      </w:r>
    </w:p>
    <w:p>
      <w:pPr>
        <w:pStyle w:val="Heading2"/>
      </w:pPr>
      <w:r>
        <w:t xml:space="preserve">15.4 Stablecoin and payment use</w:t>
      </w:r>
    </w:p>
    <w:p>
      <w:pPr>
        <w:pStyle w:val="Normal"/>
      </w:pPr>
      <w:r>
        <w:t xml:space="preserve">Stablecoins can connect blockchain settlement to fiat-denominated obligations. The component considers:</w:t>
      </w:r>
    </w:p>
    <w:p>
      <w:pPr>
        <w:pStyle w:val="ListParagraph"/>
      </w:pPr>
      <w:r>
        <w:t xml:space="preserve">• adjusted transfer value and active payment entities;</w:t>
      </w:r>
    </w:p>
    <w:p>
      <w:pPr>
        <w:pStyle w:val="ListParagraph"/>
      </w:pPr>
      <w:r>
        <w:t xml:space="preserve">• payment-size distribution;</w:t>
      </w:r>
    </w:p>
    <w:p>
      <w:pPr>
        <w:pStyle w:val="ListParagraph"/>
      </w:pPr>
      <w:r>
        <w:t xml:space="preserve">• retention and velocity;</w:t>
      </w:r>
    </w:p>
    <w:p>
      <w:pPr>
        <w:pStyle w:val="ListParagraph"/>
      </w:pPr>
      <w:r>
        <w:t xml:space="preserve">• merchant, remittance or treasury usage evidence;</w:t>
      </w:r>
    </w:p>
    <w:p>
      <w:pPr>
        <w:pStyle w:val="ListParagraph"/>
      </w:pPr>
      <w:r>
        <w:t xml:space="preserve">• issuer and reserve concentration;</w:t>
      </w:r>
    </w:p>
    <w:p>
      <w:pPr>
        <w:pStyle w:val="ListParagraph"/>
      </w:pPr>
      <w:r>
        <w:t xml:space="preserve">• de-peg history and redemption access;</w:t>
      </w:r>
    </w:p>
    <w:p>
      <w:pPr>
        <w:pStyle w:val="ListParagraph"/>
      </w:pPr>
      <w:r>
        <w:t xml:space="preserve">• bridge and custody dependencies.</w:t>
      </w:r>
    </w:p>
    <w:p>
      <w:pPr>
        <w:pStyle w:val="Normal"/>
      </w:pPr>
      <w:r>
        <w:t xml:space="preserve">Pure exchange rotation is separated from payment-like activity where classification is feasible.</w:t>
      </w:r>
    </w:p>
    <w:p>
      <w:pPr>
        <w:pStyle w:val="Heading2"/>
      </w:pPr>
      <w:r>
        <w:t xml:space="preserve">15.5 Tokenised asset value and quality</w:t>
      </w:r>
    </w:p>
    <w:p>
      <w:pPr>
        <w:pStyle w:val="Normal"/>
      </w:pPr>
      <w:r>
        <w:t xml:space="preserve">Tokenised real-world assets include government securities, funds, credit, commodities, property interests, invoices and other enforceable claims. Measurement considers both quantity and quality:</w:t>
      </w:r>
    </w:p>
    <w:p>
      <w:pPr>
        <w:pStyle w:val="ListParagraph"/>
      </w:pPr>
      <w:r>
        <w:t xml:space="preserve">• outstanding verified value;</w:t>
      </w:r>
    </w:p>
    <w:p>
      <w:pPr>
        <w:pStyle w:val="ListParagraph"/>
      </w:pPr>
      <w:r>
        <w:t xml:space="preserve">• net issuance and redemption;</w:t>
      </w:r>
    </w:p>
    <w:p>
      <w:pPr>
        <w:pStyle w:val="ListParagraph"/>
      </w:pPr>
      <w:r>
        <w:t xml:space="preserve">• holder and issuer diversity;</w:t>
      </w:r>
    </w:p>
    <w:p>
      <w:pPr>
        <w:pStyle w:val="ListParagraph"/>
      </w:pPr>
      <w:r>
        <w:t xml:space="preserve">• asset-class diversity;</w:t>
      </w:r>
    </w:p>
    <w:p>
      <w:pPr>
        <w:pStyle w:val="ListParagraph"/>
      </w:pPr>
      <w:r>
        <w:t xml:space="preserve">• secondary liquidity where relevant;</w:t>
      </w:r>
    </w:p>
    <w:p>
      <w:pPr>
        <w:pStyle w:val="ListParagraph"/>
      </w:pPr>
      <w:r>
        <w:t xml:space="preserve">• legal enforceability and investor rights;</w:t>
      </w:r>
    </w:p>
    <w:p>
      <w:pPr>
        <w:pStyle w:val="ListParagraph"/>
      </w:pPr>
      <w:r>
        <w:t xml:space="preserve">• reserve, custody and reporting quality;</w:t>
      </w:r>
    </w:p>
    <w:p>
      <w:pPr>
        <w:pStyle w:val="ListParagraph"/>
      </w:pPr>
      <w:r>
        <w:t xml:space="preserve">• oracle and administrator independence.</w:t>
      </w:r>
    </w:p>
    <w:p>
      <w:pPr>
        <w:pStyle w:val="Normal"/>
      </w:pPr>
      <w:r>
        <w:t xml:space="preserve">A large opaque tokenised claim does not receive the same score as a smaller, independently verified and redeemable instrument.</w:t>
      </w:r>
    </w:p>
    <w:p>
      <w:pPr>
        <w:pStyle w:val="Heading2"/>
      </w:pPr>
      <w:r>
        <w:t xml:space="preserve">15.6 Adoption diversity and persistence</w:t>
      </w:r>
    </w:p>
    <w:p>
      <w:pPr>
        <w:pStyle w:val="Normal"/>
      </w:pPr>
      <w:r>
        <w:t xml:space="preserve">Adoption is stronger when it spans multiple independent organisations, sectors and jurisdictions and persists beyond pilots. Evidence includes:</w:t>
      </w:r>
    </w:p>
    <w:p>
      <w:pPr>
        <w:pStyle w:val="ListParagraph"/>
      </w:pPr>
      <w:r>
        <w:t xml:space="preserve">• independent issuers and service providers;</w:t>
      </w:r>
    </w:p>
    <w:p>
      <w:pPr>
        <w:pStyle w:val="ListParagraph"/>
      </w:pPr>
      <w:r>
        <w:t xml:space="preserve">• recurring transaction activity;</w:t>
      </w:r>
    </w:p>
    <w:p>
      <w:pPr>
        <w:pStyle w:val="ListParagraph"/>
      </w:pPr>
      <w:r>
        <w:t xml:space="preserve">• production deployment rather than announced trials;</w:t>
      </w:r>
    </w:p>
    <w:p>
      <w:pPr>
        <w:pStyle w:val="ListParagraph"/>
      </w:pPr>
      <w:r>
        <w:t xml:space="preserve">• distribution across payments, capital markets, identity, infrastructure and other categories;</w:t>
      </w:r>
    </w:p>
    <w:p>
      <w:pPr>
        <w:pStyle w:val="ListParagraph"/>
      </w:pPr>
      <w:r>
        <w:t xml:space="preserve">• concentration of usage among top programmes;</w:t>
      </w:r>
    </w:p>
    <w:p>
      <w:pPr>
        <w:pStyle w:val="ListParagraph"/>
      </w:pPr>
      <w:r>
        <w:t xml:space="preserve">• multi-year continuity.</w:t>
      </w:r>
    </w:p>
    <w:p>
      <w:pPr>
        <w:pStyle w:val="Heading2"/>
      </w:pPr>
      <w:r>
        <w:t xml:space="preserve">15.7 External-verification integrity</w:t>
      </w:r>
    </w:p>
    <w:p>
      <w:pPr>
        <w:pStyle w:val="Normal"/>
      </w:pPr>
      <w:r>
        <w:t xml:space="preserve">Real-world claims introduce off-chain dependencies. This component measures:</w:t>
      </w:r>
    </w:p>
    <w:p>
      <w:pPr>
        <w:pStyle w:val="ListParagraph"/>
      </w:pPr>
      <w:r>
        <w:t xml:space="preserve">• legal documentation and jurisdiction;</w:t>
      </w:r>
    </w:p>
    <w:p>
      <w:pPr>
        <w:pStyle w:val="ListParagraph"/>
      </w:pPr>
      <w:r>
        <w:t xml:space="preserve">• custody and bankruptcy remoteness;</w:t>
      </w:r>
    </w:p>
    <w:p>
      <w:pPr>
        <w:pStyle w:val="ListParagraph"/>
      </w:pPr>
      <w:r>
        <w:t xml:space="preserve">• independent attestations or audits;</w:t>
      </w:r>
    </w:p>
    <w:p>
      <w:pPr>
        <w:pStyle w:val="ListParagraph"/>
      </w:pPr>
      <w:r>
        <w:t xml:space="preserve">• reserve transparency;</w:t>
      </w:r>
    </w:p>
    <w:p>
      <w:pPr>
        <w:pStyle w:val="ListParagraph"/>
      </w:pPr>
      <w:r>
        <w:t xml:space="preserve">• oracle and administrator design;</w:t>
      </w:r>
    </w:p>
    <w:p>
      <w:pPr>
        <w:pStyle w:val="ListParagraph"/>
      </w:pPr>
      <w:r>
        <w:t xml:space="preserve">• redemption and dispute mechanisms;</w:t>
      </w:r>
    </w:p>
    <w:p>
      <w:pPr>
        <w:pStyle w:val="ListParagraph"/>
      </w:pPr>
      <w:r>
        <w:t xml:space="preserve">• identity and compliance dependencies;</w:t>
      </w:r>
    </w:p>
    <w:p>
      <w:pPr>
        <w:pStyle w:val="ListParagraph"/>
      </w:pPr>
      <w:r>
        <w:t xml:space="preserve">• reporting frequency and timeliness.</w:t>
      </w:r>
    </w:p>
    <w:p>
      <w:pPr>
        <w:pStyle w:val="Normal"/>
      </w:pPr>
      <w:r>
        <w:t xml:space="preserve">RWAI does not treat regulation as automatically positive or negative. It measures whether the external claim is transparent, enforceable and operationally credible.</w:t>
      </w:r>
    </w:p>
    <w:p>
      <w:pPr>
        <w:pStyle w:val="Heading2"/>
      </w:pPr>
      <w:r>
        <w:t xml:space="preserve">15.8 Macroeconomic relevance</w:t>
      </w:r>
    </w:p>
    <w:p>
      <w:pPr>
        <w:pStyle w:val="Normal"/>
      </w:pPr>
      <w:r>
        <w:t xml:space="preserve">Tokenisation and digital money are increasingly analysed by institutions such as the Bank for International Settlements and International Monetary Fund [11–14]. Voxonomics uses those developments as contextual evidence, but retains a public, chain-agnostic and reproducible measurement standard.</w:t>
      </w:r>
    </w:p>
    <w:p>
      <w:pPr>
        <w:pStyle w:val="Heading2"/>
      </w:pPr>
      <w:r>
        <w:t xml:space="preserve">15.9 Interpretation</w:t>
      </w:r>
    </w:p>
    <w:p>
      <w:pPr>
        <w:pStyle w:val="Normal"/>
      </w:pPr>
      <w:r>
        <w:t xml:space="preserve">A high RWAI indicates meaningful, persistent and verifiable use connected to the broader economy. It does not imply that the network or assets are risk-free or legally recognised in every jurisdiction.</w:t>
      </w:r>
    </w:p>
    <w:p>
      <w:pPr>
        <w:pStyle w:val="Heading1"/>
        <w:pageBreakBefore/>
      </w:pPr>
      <w:r>
        <w:t xml:space="preserve">16. Economic Resilience Index (ERI)</w:t>
      </w:r>
    </w:p>
    <w:p>
      <w:pPr>
        <w:pStyle w:val="Heading2"/>
      </w:pPr>
      <w:r>
        <w:t xml:space="preserve">16.1 Purpose</w:t>
      </w:r>
    </w:p>
    <w:p>
      <w:pPr>
        <w:pStyle w:val="Normal"/>
      </w:pPr>
      <w:r>
        <w:t xml:space="preserve">ERI measures the ability of a network economy to retain essential function, absorb shocks and recover. It is historical and stress-oriented. PII measures current integrity; ERI measures performance across adverse conditions.</w:t>
      </w:r>
    </w:p>
    <w:p>
      <w:pPr>
        <w:pStyle w:val="Heading2"/>
      </w:pPr>
      <w:r>
        <w:t xml:space="preserve">16.2 ERI composition</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Sub-index</w:t>
            </w:r>
          </w:p>
        </w:tc>
        <w:tc>
          <w:tcPr>
            <w:tcW w:w="3033" w:type="dxa"/>
          </w:tcPr>
          <w:p>
            <w:pPr>
              <w:pStyle w:val="TableHeader"/>
            </w:pPr>
            <w:r>
              <w:t xml:space="preserve">Weight</w:t>
            </w:r>
          </w:p>
        </w:tc>
        <w:tc>
          <w:tcPr>
            <w:tcW w:w="3033" w:type="dxa"/>
          </w:tcPr>
          <w:p>
            <w:pPr>
              <w:pStyle w:val="TableHeader"/>
            </w:pPr>
            <w:r>
              <w:t xml:space="preserve">Primary economic meaning</w:t>
            </w:r>
          </w:p>
        </w:tc>
      </w:tr>
      <w:tr>
        <w:trPr>
          <w:cantSplit/>
        </w:trPr>
        <w:tc>
          <w:tcPr>
            <w:tcW w:w="3033" w:type="dxa"/>
          </w:tcPr>
          <w:p>
            <w:pPr>
              <w:pStyle w:val="TableText"/>
            </w:pPr>
            <w:r>
              <w:t xml:space="preserve">Activity retention</w:t>
            </w:r>
          </w:p>
        </w:tc>
        <w:tc>
          <w:tcPr>
            <w:tcW w:w="3033" w:type="dxa"/>
          </w:tcPr>
          <w:p>
            <w:pPr>
              <w:pStyle w:val="TableText"/>
            </w:pPr>
            <w:r>
              <w:t xml:space="preserve">20%</w:t>
            </w:r>
          </w:p>
        </w:tc>
        <w:tc>
          <w:tcPr>
            <w:tcW w:w="3033" w:type="dxa"/>
          </w:tcPr>
          <w:p>
            <w:pPr>
              <w:pStyle w:val="TableText"/>
            </w:pPr>
            <w:r>
              <w:t xml:space="preserve">Ability to preserve useful activity through stress</w:t>
            </w:r>
          </w:p>
        </w:tc>
      </w:tr>
      <w:tr>
        <w:trPr>
          <w:cantSplit/>
        </w:trPr>
        <w:tc>
          <w:tcPr>
            <w:tcW w:w="3033" w:type="dxa"/>
          </w:tcPr>
          <w:p>
            <w:pPr>
              <w:pStyle w:val="TableText"/>
            </w:pPr>
            <w:r>
              <w:t xml:space="preserve">Liquidity retention</w:t>
            </w:r>
          </w:p>
        </w:tc>
        <w:tc>
          <w:tcPr>
            <w:tcW w:w="3033" w:type="dxa"/>
          </w:tcPr>
          <w:p>
            <w:pPr>
              <w:pStyle w:val="TableText"/>
            </w:pPr>
            <w:r>
              <w:t xml:space="preserve">20%</w:t>
            </w:r>
          </w:p>
        </w:tc>
        <w:tc>
          <w:tcPr>
            <w:tcW w:w="3033" w:type="dxa"/>
          </w:tcPr>
          <w:p>
            <w:pPr>
              <w:pStyle w:val="TableText"/>
            </w:pPr>
            <w:r>
              <w:t xml:space="preserve">Ability to preserve market function and depth</w:t>
            </w:r>
          </w:p>
        </w:tc>
      </w:tr>
      <w:tr>
        <w:trPr>
          <w:cantSplit/>
        </w:trPr>
        <w:tc>
          <w:tcPr>
            <w:tcW w:w="3033" w:type="dxa"/>
          </w:tcPr>
          <w:p>
            <w:pPr>
              <w:pStyle w:val="TableText"/>
            </w:pPr>
            <w:r>
              <w:t xml:space="preserve">Security-budget sustainability</w:t>
            </w:r>
          </w:p>
        </w:tc>
        <w:tc>
          <w:tcPr>
            <w:tcW w:w="3033" w:type="dxa"/>
          </w:tcPr>
          <w:p>
            <w:pPr>
              <w:pStyle w:val="TableText"/>
            </w:pPr>
            <w:r>
              <w:t xml:space="preserve">20%</w:t>
            </w:r>
          </w:p>
        </w:tc>
        <w:tc>
          <w:tcPr>
            <w:tcW w:w="3033" w:type="dxa"/>
          </w:tcPr>
          <w:p>
            <w:pPr>
              <w:pStyle w:val="TableText"/>
            </w:pPr>
            <w:r>
              <w:t xml:space="preserve">Capacity to fund security under adverse economics</w:t>
            </w:r>
          </w:p>
        </w:tc>
      </w:tr>
      <w:tr>
        <w:trPr>
          <w:cantSplit/>
        </w:trPr>
        <w:tc>
          <w:tcPr>
            <w:tcW w:w="3033" w:type="dxa"/>
          </w:tcPr>
          <w:p>
            <w:pPr>
              <w:pStyle w:val="TableText"/>
            </w:pPr>
            <w:r>
              <w:t xml:space="preserve">Treasury and resource resilience</w:t>
            </w:r>
          </w:p>
        </w:tc>
        <w:tc>
          <w:tcPr>
            <w:tcW w:w="3033" w:type="dxa"/>
          </w:tcPr>
          <w:p>
            <w:pPr>
              <w:pStyle w:val="TableText"/>
            </w:pPr>
            <w:r>
              <w:t xml:space="preserve">15%</w:t>
            </w:r>
          </w:p>
        </w:tc>
        <w:tc>
          <w:tcPr>
            <w:tcW w:w="3033" w:type="dxa"/>
          </w:tcPr>
          <w:p>
            <w:pPr>
              <w:pStyle w:val="TableText"/>
            </w:pPr>
            <w:r>
              <w:t xml:space="preserve">Resources available for maintenance and recovery</w:t>
            </w:r>
          </w:p>
        </w:tc>
      </w:tr>
      <w:tr>
        <w:trPr>
          <w:cantSplit/>
        </w:trPr>
        <w:tc>
          <w:tcPr>
            <w:tcW w:w="3033" w:type="dxa"/>
          </w:tcPr>
          <w:p>
            <w:pPr>
              <w:pStyle w:val="TableText"/>
            </w:pPr>
            <w:r>
              <w:t xml:space="preserve">Shock recovery performance</w:t>
            </w:r>
          </w:p>
        </w:tc>
        <w:tc>
          <w:tcPr>
            <w:tcW w:w="3033" w:type="dxa"/>
          </w:tcPr>
          <w:p>
            <w:pPr>
              <w:pStyle w:val="TableText"/>
            </w:pPr>
            <w:r>
              <w:t xml:space="preserve">25%</w:t>
            </w:r>
          </w:p>
        </w:tc>
        <w:tc>
          <w:tcPr>
            <w:tcW w:w="3033" w:type="dxa"/>
          </w:tcPr>
          <w:p>
            <w:pPr>
              <w:pStyle w:val="TableText"/>
            </w:pPr>
            <w:r>
              <w:t xml:space="preserve">Speed, completeness and governance quality of recovery</w:t>
            </w:r>
          </w:p>
        </w:tc>
      </w:tr>
    </w:tbl>
    <w:p>
      <w:pPr>
        <w:jc w:val="center"/>
      </w:pPr>
      <w:r>
        <w:drawing>
          <wp:inline distT="0" distB="0" distL="0" distR="0">
            <wp:extent cx="5638800" cy="296965"/>
            <wp:docPr id="26" name="Figure 26" descr="Specification figure or equation in 16. Economic Resilience Index (ERI); original available in the DOCX"/>
            <a:graphic>
              <a:graphicData uri="http://schemas.openxmlformats.org/drawingml/2006/picture">
                <pic:pic>
                  <pic:nvPicPr>
                    <pic:cNvPr id="0" name="image26.png"/>
                    <pic:cNvPicPr/>
                  </pic:nvPicPr>
                  <pic:blipFill>
                    <a:blip r:embed="rId28"/>
                    <a:stretch>
                      <a:fillRect/>
                    </a:stretch>
                  </pic:blipFill>
                  <pic:spPr>
                    <a:xfrm>
                      <a:off x="0" y="0"/>
                      <a:ext cx="5638800" cy="296965"/>
                    </a:xfrm>
                    <a:prstGeom prst="rect">
                      <a:avLst/>
                    </a:prstGeom>
                  </pic:spPr>
                </pic:pic>
              </a:graphicData>
            </a:graphic>
          </wp:inline>
        </w:drawing>
      </w:r>
    </w:p>
    <w:p>
      <w:pPr>
        <w:pStyle w:val="Heading2"/>
      </w:pPr>
      <w:r>
        <w:t xml:space="preserve">16.3 Stress-event registry</w:t>
      </w:r>
    </w:p>
    <w:p>
      <w:pPr>
        <w:pStyle w:val="Normal"/>
      </w:pPr>
      <w:r>
        <w:t xml:space="preserve">The DAO maintains a versioned registry of qualifying stress events, including:</w:t>
      </w:r>
    </w:p>
    <w:p>
      <w:pPr>
        <w:pStyle w:val="ListParagraph"/>
      </w:pPr>
      <w:r>
        <w:t xml:space="preserve">• major crypto-market drawdowns;</w:t>
      </w:r>
    </w:p>
    <w:p>
      <w:pPr>
        <w:pStyle w:val="ListParagraph"/>
      </w:pPr>
      <w:r>
        <w:t xml:space="preserve">• chain outages or severe congestion;</w:t>
      </w:r>
    </w:p>
    <w:p>
      <w:pPr>
        <w:pStyle w:val="ListParagraph"/>
      </w:pPr>
      <w:r>
        <w:t xml:space="preserve">• consensus or bridge exploits;</w:t>
      </w:r>
    </w:p>
    <w:p>
      <w:pPr>
        <w:pStyle w:val="ListParagraph"/>
      </w:pPr>
      <w:r>
        <w:t xml:space="preserve">• stablecoin de-pegs;</w:t>
      </w:r>
    </w:p>
    <w:p>
      <w:pPr>
        <w:pStyle w:val="ListParagraph"/>
      </w:pPr>
      <w:r>
        <w:t xml:space="preserve">• validator, miner or sequencer exits;</w:t>
      </w:r>
    </w:p>
    <w:p>
      <w:pPr>
        <w:pStyle w:val="ListParagraph"/>
      </w:pPr>
      <w:r>
        <w:t xml:space="preserve">• liquidity withdrawals;</w:t>
      </w:r>
    </w:p>
    <w:p>
      <w:pPr>
        <w:pStyle w:val="ListParagraph"/>
      </w:pPr>
      <w:r>
        <w:t xml:space="preserve">• regulatory or infrastructure disruptions;</w:t>
      </w:r>
    </w:p>
    <w:p>
      <w:pPr>
        <w:pStyle w:val="ListParagraph"/>
      </w:pPr>
      <w:r>
        <w:t xml:space="preserve">• application failures with systemic network effect.</w:t>
      </w:r>
    </w:p>
    <w:p>
      <w:pPr>
        <w:pStyle w:val="Normal"/>
      </w:pPr>
      <w:r>
        <w:t xml:space="preserve">Events are included using published thresholds, not subjective selection after seeing outcomes.</w:t>
      </w:r>
    </w:p>
    <w:p>
      <w:pPr>
        <w:pStyle w:val="Heading2"/>
      </w:pPr>
      <w:r>
        <w:t xml:space="preserve">16.4 Activity retention</w:t>
      </w:r>
    </w:p>
    <w:p>
      <w:pPr>
        <w:pStyle w:val="Normal"/>
      </w:pPr>
      <w:r>
        <w:t xml:space="preserve">Activity retention compares pre-stress baseline with trough and recovery levels:</w:t>
      </w:r>
    </w:p>
    <w:p>
      <w:pPr>
        <w:jc w:val="center"/>
      </w:pPr>
      <w:r>
        <w:drawing>
          <wp:inline distT="0" distB="0" distL="0" distR="0">
            <wp:extent cx="5638800" cy="1259554"/>
            <wp:docPr id="27" name="Figure 27" descr="Specification figure or equation in 16. Economic Resilience Index (ERI); original available in the DOCX"/>
            <a:graphic>
              <a:graphicData uri="http://schemas.openxmlformats.org/drawingml/2006/picture">
                <pic:pic>
                  <pic:nvPicPr>
                    <pic:cNvPr id="0" name="image27.png"/>
                    <pic:cNvPicPr/>
                  </pic:nvPicPr>
                  <pic:blipFill>
                    <a:blip r:embed="rId29"/>
                    <a:stretch>
                      <a:fillRect/>
                    </a:stretch>
                  </pic:blipFill>
                  <pic:spPr>
                    <a:xfrm>
                      <a:off x="0" y="0"/>
                      <a:ext cx="5638800" cy="1259554"/>
                    </a:xfrm>
                    <a:prstGeom prst="rect">
                      <a:avLst/>
                    </a:prstGeom>
                  </pic:spPr>
                </pic:pic>
              </a:graphicData>
            </a:graphic>
          </wp:inline>
        </w:drawing>
      </w:r>
    </w:p>
    <w:p>
      <w:pPr>
        <w:jc w:val="center"/>
      </w:pPr>
      <w:r>
        <w:drawing>
          <wp:inline distT="0" distB="0" distL="0" distR="0">
            <wp:extent cx="5638800" cy="902208"/>
            <wp:docPr id="28" name="Figure 28" descr="Specification figure or equation in 16. Economic Resilience Index (ERI); original available in the DOCX"/>
            <a:graphic>
              <a:graphicData uri="http://schemas.openxmlformats.org/drawingml/2006/picture">
                <pic:pic>
                  <pic:nvPicPr>
                    <pic:cNvPr id="0" name="image28.png"/>
                    <pic:cNvPicPr/>
                  </pic:nvPicPr>
                  <pic:blipFill>
                    <a:blip r:embed="rId30"/>
                    <a:stretch>
                      <a:fillRect/>
                    </a:stretch>
                  </pic:blipFill>
                  <pic:spPr>
                    <a:xfrm>
                      <a:off x="0" y="0"/>
                      <a:ext cx="5638800" cy="902208"/>
                    </a:xfrm>
                    <a:prstGeom prst="rect">
                      <a:avLst/>
                    </a:prstGeom>
                  </pic:spPr>
                </pic:pic>
              </a:graphicData>
            </a:graphic>
          </wp:inline>
        </w:drawing>
      </w:r>
    </w:p>
    <w:p>
      <w:pPr>
        <w:pStyle w:val="Normal"/>
      </w:pPr>
      <w:r>
        <w:t xml:space="preserve">The component uses multiple activity measures to avoid rewarding spam or temporary incentive replacement.</w:t>
      </w:r>
    </w:p>
    <w:p>
      <w:pPr>
        <w:pStyle w:val="Heading2"/>
      </w:pPr>
      <w:r>
        <w:t xml:space="preserve">16.5 Liquidity retention</w:t>
      </w:r>
    </w:p>
    <w:p>
      <w:pPr>
        <w:pStyle w:val="Normal"/>
      </w:pPr>
      <w:r>
        <w:t xml:space="preserve">Liquidity resilience examines depth, slippage, stablecoin integrity, liquidation behaviour and venue continuity during stress. A network with high normal-period TVL but catastrophic depth loss receives a weaker ERI.</w:t>
      </w:r>
    </w:p>
    <w:p>
      <w:pPr>
        <w:pStyle w:val="Heading2"/>
      </w:pPr>
      <w:r>
        <w:t xml:space="preserve">16.6 Security-budget sustainability</w:t>
      </w:r>
    </w:p>
    <w:p>
      <w:pPr>
        <w:pStyle w:val="Normal"/>
      </w:pPr>
      <w:r>
        <w:t xml:space="preserve">Security-budget sustainability measures whether validators, miners, sequencers and critical infrastructure remain economically supported when token price, issuance or fees decline. Evidence may include:</w:t>
      </w:r>
    </w:p>
    <w:p>
      <w:pPr>
        <w:pStyle w:val="ListParagraph"/>
      </w:pPr>
      <w:r>
        <w:t xml:space="preserve">• fee coverage of security expenditure;</w:t>
      </w:r>
    </w:p>
    <w:p>
      <w:pPr>
        <w:pStyle w:val="ListParagraph"/>
      </w:pPr>
      <w:r>
        <w:t xml:space="preserve">• validator or miner exit rates;</w:t>
      </w:r>
    </w:p>
    <w:p>
      <w:pPr>
        <w:pStyle w:val="ListParagraph"/>
      </w:pPr>
      <w:r>
        <w:t xml:space="preserve">• concentration changes during stress;</w:t>
      </w:r>
    </w:p>
    <w:p>
      <w:pPr>
        <w:pStyle w:val="ListParagraph"/>
      </w:pPr>
      <w:r>
        <w:t xml:space="preserve">• profitability sensitivity;</w:t>
      </w:r>
    </w:p>
    <w:p>
      <w:pPr>
        <w:pStyle w:val="ListParagraph"/>
      </w:pPr>
      <w:r>
        <w:t xml:space="preserve">• reserve and insurance mechanisms;</w:t>
      </w:r>
    </w:p>
    <w:p>
      <w:pPr>
        <w:pStyle w:val="ListParagraph"/>
      </w:pPr>
      <w:r>
        <w:t xml:space="preserve">• dependency on temporary emissions.</w:t>
      </w:r>
    </w:p>
    <w:p>
      <w:pPr>
        <w:pStyle w:val="Heading2"/>
      </w:pPr>
      <w:r>
        <w:t xml:space="preserve">16.7 Treasury and resource resilience</w:t>
      </w:r>
    </w:p>
    <w:p>
      <w:pPr>
        <w:pStyle w:val="Normal"/>
      </w:pPr>
      <w:r>
        <w:t xml:space="preserve">This sub-index measures resources available to maintain software, respond to incidents and fund public goods. It considers:</w:t>
      </w:r>
    </w:p>
    <w:p>
      <w:pPr>
        <w:pStyle w:val="ListParagraph"/>
      </w:pPr>
      <w:r>
        <w:t xml:space="preserve">• liquid and diversified treasury assets;</w:t>
      </w:r>
    </w:p>
    <w:p>
      <w:pPr>
        <w:pStyle w:val="ListParagraph"/>
      </w:pPr>
      <w:r>
        <w:t xml:space="preserve">• burn rate and operating runway;</w:t>
      </w:r>
    </w:p>
    <w:p>
      <w:pPr>
        <w:pStyle w:val="ListParagraph"/>
      </w:pPr>
      <w:r>
        <w:t xml:space="preserve">• concentration in the native token;</w:t>
      </w:r>
    </w:p>
    <w:p>
      <w:pPr>
        <w:pStyle w:val="ListParagraph"/>
      </w:pPr>
      <w:r>
        <w:t xml:space="preserve">• transparent spending controls;</w:t>
      </w:r>
    </w:p>
    <w:p>
      <w:pPr>
        <w:pStyle w:val="ListParagraph"/>
      </w:pPr>
      <w:r>
        <w:t xml:space="preserve">• insurance or safety modules;</w:t>
      </w:r>
    </w:p>
    <w:p>
      <w:pPr>
        <w:pStyle w:val="ListParagraph"/>
      </w:pPr>
      <w:r>
        <w:t xml:space="preserve">• ability to fund urgent remediation without arbitrary dilution.</w:t>
      </w:r>
    </w:p>
    <w:p>
      <w:pPr>
        <w:pStyle w:val="Heading2"/>
      </w:pPr>
      <w:r>
        <w:t xml:space="preserve">16.8 Shock recovery performance</w:t>
      </w:r>
    </w:p>
    <w:p>
      <w:pPr>
        <w:pStyle w:val="Normal"/>
      </w:pPr>
      <w:r>
        <w:t xml:space="preserve">Recovery quality considers:</w:t>
      </w:r>
    </w:p>
    <w:p>
      <w:pPr>
        <w:pStyle w:val="ListParagraph"/>
      </w:pPr>
      <w:r>
        <w:t xml:space="preserve">• time to restore normal operation;</w:t>
      </w:r>
    </w:p>
    <w:p>
      <w:pPr>
        <w:pStyle w:val="ListParagraph"/>
      </w:pPr>
      <w:r>
        <w:t xml:space="preserve">• percentage of lost activity or liquidity recovered;</w:t>
      </w:r>
    </w:p>
    <w:p>
      <w:pPr>
        <w:pStyle w:val="ListParagraph"/>
      </w:pPr>
      <w:r>
        <w:t xml:space="preserve">• treatment of affected users;</w:t>
      </w:r>
    </w:p>
    <w:p>
      <w:pPr>
        <w:pStyle w:val="ListParagraph"/>
      </w:pPr>
      <w:r>
        <w:t xml:space="preserve">• transparency and post-mortem quality;</w:t>
      </w:r>
    </w:p>
    <w:p>
      <w:pPr>
        <w:pStyle w:val="ListParagraph"/>
      </w:pPr>
      <w:r>
        <w:t xml:space="preserve">• remediation completion;</w:t>
      </w:r>
    </w:p>
    <w:p>
      <w:pPr>
        <w:pStyle w:val="ListParagraph"/>
      </w:pPr>
      <w:r>
        <w:t xml:space="preserve">• recurrence prevention;</w:t>
      </w:r>
    </w:p>
    <w:p>
      <w:pPr>
        <w:pStyle w:val="ListParagraph"/>
      </w:pPr>
      <w:r>
        <w:t xml:space="preserve">• governance coordination and decision latency.</w:t>
      </w:r>
    </w:p>
    <w:p>
      <w:pPr>
        <w:pStyle w:val="Normal"/>
      </w:pPr>
      <w:r>
        <w:t xml:space="preserve">Fast recovery through opaque central intervention may restore function but reduce PII if control risk is exposed. The framework records both outcomes rather than forcing one narrative.</w:t>
      </w:r>
    </w:p>
    <w:p>
      <w:pPr>
        <w:pStyle w:val="Heading2"/>
      </w:pPr>
      <w:r>
        <w:t xml:space="preserve">16.9 Minimum history</w:t>
      </w:r>
    </w:p>
    <w:p>
      <w:pPr>
        <w:pStyle w:val="Normal"/>
      </w:pPr>
      <w:r>
        <w:t xml:space="preserve">A network requires at least 180 days of data for an official ERI and preferably evidence across at least one qualifying stress period. New networks may receive a provisional ERI based on scenario analysis, but VCS and publication status must make the limited history clear.</w:t>
      </w:r>
    </w:p>
    <w:p>
      <w:pPr>
        <w:pStyle w:val="Heading2"/>
      </w:pPr>
      <w:r>
        <w:t xml:space="preserve">16.10 Interpretation</w:t>
      </w:r>
    </w:p>
    <w:p>
      <w:pPr>
        <w:pStyle w:val="Normal"/>
      </w:pPr>
      <w:r>
        <w:t xml:space="preserve">A high ERI indicates demonstrated capacity to retain function and recover through adverse conditions. Historical resilience does not guarantee future resilience, especially when architecture, governance or market structure changes.</w:t>
      </w:r>
    </w:p>
    <w:p>
      <w:pPr>
        <w:pStyle w:val="Heading1"/>
        <w:pageBreakBefore/>
      </w:pPr>
      <w:r>
        <w:t xml:space="preserve">17. Aggregation, Missing Data and Publication Rules</w:t>
      </w:r>
    </w:p>
    <w:p>
      <w:pPr>
        <w:pStyle w:val="Heading2"/>
      </w:pPr>
      <w:r>
        <w:t xml:space="preserve">17.1 No arbitrary neutral value</w:t>
      </w:r>
    </w:p>
    <w:p>
      <w:pPr>
        <w:pStyle w:val="Normal"/>
      </w:pPr>
      <w:r>
        <w:t xml:space="preserve">Edition 3.1 prohibits the use of an automatic 0.5 or 50 score for missing data. A neutral placeholder creates a false claim about performance.</w:t>
      </w:r>
    </w:p>
    <w:p>
      <w:pPr>
        <w:pStyle w:val="Normal"/>
      </w:pPr>
      <w:r>
        <w:t xml:space="preserve">The framework distinguishes:</w:t>
      </w:r>
    </w:p>
    <w:p>
      <w:pPr>
        <w:pStyle w:val="ListParagraph"/>
      </w:pPr>
      <w:r>
        <w:t xml:space="preserve">• functionally absent — the economic function is genuinely not present;</w:t>
      </w:r>
    </w:p>
    <w:p>
      <w:pPr>
        <w:pStyle w:val="ListParagraph"/>
      </w:pPr>
      <w:r>
        <w:t xml:space="preserve">• not applicable by design — the universal function exists but is evidenced differently through an adapter;</w:t>
      </w:r>
    </w:p>
    <w:p>
      <w:pPr>
        <w:pStyle w:val="ListParagraph"/>
      </w:pPr>
      <w:r>
        <w:t xml:space="preserve">• temporarily unavailable — the function exists but data acquisition failed;</w:t>
      </w:r>
    </w:p>
    <w:p>
      <w:pPr>
        <w:pStyle w:val="ListParagraph"/>
      </w:pPr>
      <w:r>
        <w:t xml:space="preserve">• unobservable — evidence cannot be verified under the current adapter;</w:t>
      </w:r>
    </w:p>
    <w:p>
      <w:pPr>
        <w:pStyle w:val="ListParagraph"/>
      </w:pPr>
      <w:r>
        <w:t xml:space="preserve">• not yet implemented — the adapter lacks the metric.</w:t>
      </w:r>
    </w:p>
    <w:p>
      <w:pPr>
        <w:pStyle w:val="Heading2"/>
      </w:pPr>
      <w:r>
        <w:t xml:space="preserve">17.2 Functional absence</w:t>
      </w:r>
    </w:p>
    <w:p>
      <w:pPr>
        <w:pStyle w:val="Normal"/>
      </w:pPr>
      <w:r>
        <w:t xml:space="preserve">If a network does not perform a measured economic function, the relevant sub-index can receive a low or zero score. For example, a network with no meaningful external adoption should not receive a neutral RWAI merely because RWAI is optional to its strategy. Voxonomics measures what exists, not what the network intends to prioritise.</w:t>
      </w:r>
    </w:p>
    <w:p>
      <w:pPr>
        <w:pStyle w:val="Heading2"/>
      </w:pPr>
      <w:r>
        <w:t xml:space="preserve">17.3 Technical non-applicability</w:t>
      </w:r>
    </w:p>
    <w:p>
      <w:pPr>
        <w:pStyle w:val="Normal"/>
      </w:pPr>
      <w:r>
        <w:t xml:space="preserve">Technical non-applicability is handled through an equivalent adapter. A proof-of-work network does not need a staked-supply ratio, but it does need evidence for distributed security participation. The universal function remains applicable.</w:t>
      </w:r>
    </w:p>
    <w:p>
      <w:pPr>
        <w:pStyle w:val="Heading2"/>
      </w:pPr>
      <w:r>
        <w:t xml:space="preserve">17.4 Coverage thresholds</w:t>
      </w:r>
    </w:p>
    <w:p>
      <w:pPr>
        <w:pStyle w:val="Normal"/>
      </w:pPr>
      <w:r>
        <w:t xml:space="preserve">For an official parent index:</w:t>
      </w:r>
    </w:p>
    <w:p>
      <w:pPr>
        <w:pStyle w:val="ListParagraph"/>
      </w:pPr>
      <w:r>
        <w:t xml:space="preserve">• at least 80% of approved sub-index weight must have valid evidence;</w:t>
      </w:r>
    </w:p>
    <w:p>
      <w:pPr>
        <w:pStyle w:val="ListParagraph"/>
      </w:pPr>
      <w:r>
        <w:t xml:space="preserve">• no mandatory critical sub-index may be missing;</w:t>
      </w:r>
    </w:p>
    <w:p>
      <w:pPr>
        <w:pStyle w:val="ListParagraph"/>
      </w:pPr>
      <w:r>
        <w:t xml:space="preserve">• source and freshness thresholds must be met;</w:t>
      </w:r>
    </w:p>
    <w:p>
      <w:pPr>
        <w:pStyle w:val="ListParagraph"/>
      </w:pPr>
      <w:r>
        <w:t xml:space="preserve">• the parent-index confidence must be at least 55.</w:t>
      </w:r>
    </w:p>
    <w:p>
      <w:pPr>
        <w:pStyle w:val="Normal"/>
      </w:pPr>
      <w:r>
        <w:t xml:space="preserve">An official VTS requires all six official parent indices and overall VCS of at least 70.</w:t>
      </w:r>
    </w:p>
    <w:p>
      <w:pPr>
        <w:pStyle w:val="Heading2"/>
      </w:pPr>
      <w:r>
        <w:t xml:space="preserve">17.5 Partial aggregation</w:t>
      </w:r>
    </w:p>
    <w:p>
      <w:pPr>
        <w:pStyle w:val="Normal"/>
      </w:pPr>
      <w:r>
        <w:t xml:space="preserve">Where a provisional index is calculated with partial evidence, observed weights are renormalised only for diagnostic display:</w:t>
      </w:r>
    </w:p>
    <w:p>
      <w:pPr>
        <w:jc w:val="center"/>
      </w:pPr>
      <w:r>
        <w:drawing>
          <wp:inline distT="0" distB="0" distL="0" distR="0">
            <wp:extent cx="5638800" cy="2167467"/>
            <wp:docPr id="29" name="Figure 29" descr="Specification figure or equation in 17. Aggregation, Missing Data and Publication Rules; original available in the DOCX"/>
            <a:graphic>
              <a:graphicData uri="http://schemas.openxmlformats.org/drawingml/2006/picture">
                <pic:pic>
                  <pic:nvPicPr>
                    <pic:cNvPr id="0" name="image29.png"/>
                    <pic:cNvPicPr/>
                  </pic:nvPicPr>
                  <pic:blipFill>
                    <a:blip r:embed="rId31"/>
                    <a:stretch>
                      <a:fillRect/>
                    </a:stretch>
                  </pic:blipFill>
                  <pic:spPr>
                    <a:xfrm>
                      <a:off x="0" y="0"/>
                      <a:ext cx="5638800" cy="2167467"/>
                    </a:xfrm>
                    <a:prstGeom prst="rect">
                      <a:avLst/>
                    </a:prstGeom>
                  </pic:spPr>
                </pic:pic>
              </a:graphicData>
            </a:graphic>
          </wp:inline>
        </w:drawing>
      </w:r>
    </w:p>
    <w:p>
      <w:pPr>
        <w:pStyle w:val="Normal"/>
      </w:pPr>
      <w:r>
        <w:t xml:space="preserve">where O is the observed set. The result is labelled provisional and cannot be treated as directly equivalent to an official index.</w:t>
      </w:r>
    </w:p>
    <w:p>
      <w:pPr>
        <w:pStyle w:val="Heading2"/>
      </w:pPr>
      <w:r>
        <w:t xml:space="preserve">17.6 Publication bands</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VCS</w:t>
            </w:r>
          </w:p>
        </w:tc>
        <w:tc>
          <w:tcPr>
            <w:tcW w:w="3033" w:type="dxa"/>
          </w:tcPr>
          <w:p>
            <w:pPr>
              <w:pStyle w:val="TableHeader"/>
            </w:pPr>
            <w:r>
              <w:t xml:space="preserve">Publication status</w:t>
            </w:r>
          </w:p>
        </w:tc>
        <w:tc>
          <w:tcPr>
            <w:tcW w:w="3033" w:type="dxa"/>
          </w:tcPr>
          <w:p>
            <w:pPr>
              <w:pStyle w:val="TableHeader"/>
            </w:pPr>
            <w:r>
              <w:t xml:space="preserve">Use</w:t>
            </w:r>
          </w:p>
        </w:tc>
      </w:tr>
      <w:tr>
        <w:trPr>
          <w:cantSplit/>
        </w:trPr>
        <w:tc>
          <w:tcPr>
            <w:tcW w:w="3033" w:type="dxa"/>
          </w:tcPr>
          <w:p>
            <w:pPr>
              <w:pStyle w:val="TableText"/>
            </w:pPr>
            <w:r>
              <w:t xml:space="preserve">85–100</w:t>
            </w:r>
          </w:p>
        </w:tc>
        <w:tc>
          <w:tcPr>
            <w:tcW w:w="3033" w:type="dxa"/>
          </w:tcPr>
          <w:p>
            <w:pPr>
              <w:pStyle w:val="TableText"/>
            </w:pPr>
            <w:r>
              <w:t xml:space="preserve">High confidence</w:t>
            </w:r>
          </w:p>
        </w:tc>
        <w:tc>
          <w:tcPr>
            <w:tcW w:w="3033" w:type="dxa"/>
          </w:tcPr>
          <w:p>
            <w:pPr>
              <w:pStyle w:val="TableText"/>
            </w:pPr>
            <w:r>
              <w:t xml:space="preserve">Official; eligible for advanced implementation review</w:t>
            </w:r>
          </w:p>
        </w:tc>
      </w:tr>
      <w:tr>
        <w:trPr>
          <w:cantSplit/>
        </w:trPr>
        <w:tc>
          <w:tcPr>
            <w:tcW w:w="3033" w:type="dxa"/>
          </w:tcPr>
          <w:p>
            <w:pPr>
              <w:pStyle w:val="TableText"/>
            </w:pPr>
            <w:r>
              <w:t xml:space="preserve">70–84</w:t>
            </w:r>
          </w:p>
        </w:tc>
        <w:tc>
          <w:tcPr>
            <w:tcW w:w="3033" w:type="dxa"/>
          </w:tcPr>
          <w:p>
            <w:pPr>
              <w:pStyle w:val="TableText"/>
            </w:pPr>
            <w:r>
              <w:t xml:space="preserve">Official</w:t>
            </w:r>
          </w:p>
        </w:tc>
        <w:tc>
          <w:tcPr>
            <w:tcW w:w="3033" w:type="dxa"/>
          </w:tcPr>
          <w:p>
            <w:pPr>
              <w:pStyle w:val="TableText"/>
            </w:pPr>
            <w:r>
              <w:t xml:space="preserve">Comparable headline publication</w:t>
            </w:r>
          </w:p>
        </w:tc>
      </w:tr>
      <w:tr>
        <w:trPr>
          <w:cantSplit/>
        </w:trPr>
        <w:tc>
          <w:tcPr>
            <w:tcW w:w="3033" w:type="dxa"/>
          </w:tcPr>
          <w:p>
            <w:pPr>
              <w:pStyle w:val="TableText"/>
            </w:pPr>
            <w:r>
              <w:t xml:space="preserve">55–69</w:t>
            </w:r>
          </w:p>
        </w:tc>
        <w:tc>
          <w:tcPr>
            <w:tcW w:w="3033" w:type="dxa"/>
          </w:tcPr>
          <w:p>
            <w:pPr>
              <w:pStyle w:val="TableText"/>
            </w:pPr>
            <w:r>
              <w:t xml:space="preserve">Provisional</w:t>
            </w:r>
          </w:p>
        </w:tc>
        <w:tc>
          <w:tcPr>
            <w:tcW w:w="3033" w:type="dxa"/>
          </w:tcPr>
          <w:p>
            <w:pPr>
              <w:pStyle w:val="TableText"/>
            </w:pPr>
            <w:r>
              <w:t xml:space="preserve">Research use with visible limitations</w:t>
            </w:r>
          </w:p>
        </w:tc>
      </w:tr>
      <w:tr>
        <w:trPr>
          <w:cantSplit/>
        </w:trPr>
        <w:tc>
          <w:tcPr>
            <w:tcW w:w="3033" w:type="dxa"/>
          </w:tcPr>
          <w:p>
            <w:pPr>
              <w:pStyle w:val="TableText"/>
            </w:pPr>
            <w:r>
              <w:t xml:space="preserve">40–54</w:t>
            </w:r>
          </w:p>
        </w:tc>
        <w:tc>
          <w:tcPr>
            <w:tcW w:w="3033" w:type="dxa"/>
          </w:tcPr>
          <w:p>
            <w:pPr>
              <w:pStyle w:val="TableText"/>
            </w:pPr>
            <w:r>
              <w:t xml:space="preserve">Experimental</w:t>
            </w:r>
          </w:p>
        </w:tc>
        <w:tc>
          <w:tcPr>
            <w:tcW w:w="3033" w:type="dxa"/>
          </w:tcPr>
          <w:p>
            <w:pPr>
              <w:pStyle w:val="TableText"/>
            </w:pPr>
            <w:r>
              <w:t xml:space="preserve">Diagnostic only; no headline ranking</w:t>
            </w:r>
          </w:p>
        </w:tc>
      </w:tr>
      <w:tr>
        <w:trPr>
          <w:cantSplit/>
        </w:trPr>
        <w:tc>
          <w:tcPr>
            <w:tcW w:w="3033" w:type="dxa"/>
          </w:tcPr>
          <w:p>
            <w:pPr>
              <w:pStyle w:val="TableText"/>
            </w:pPr>
            <w:r>
              <w:t xml:space="preserve">Below 40</w:t>
            </w:r>
          </w:p>
        </w:tc>
        <w:tc>
          <w:tcPr>
            <w:tcW w:w="3033" w:type="dxa"/>
          </w:tcPr>
          <w:p>
            <w:pPr>
              <w:pStyle w:val="TableText"/>
            </w:pPr>
            <w:r>
              <w:t xml:space="preserve">Insufficient</w:t>
            </w:r>
          </w:p>
        </w:tc>
        <w:tc>
          <w:tcPr>
            <w:tcW w:w="3033" w:type="dxa"/>
          </w:tcPr>
          <w:p>
            <w:pPr>
              <w:pStyle w:val="TableText"/>
            </w:pPr>
            <w:r>
              <w:t xml:space="preserve">No composite score published</w:t>
            </w:r>
          </w:p>
        </w:tc>
      </w:tr>
    </w:tbl>
    <w:p>
      <w:pPr>
        <w:pStyle w:val="Heading2"/>
      </w:pPr>
      <w:r>
        <w:t xml:space="preserve">17.7 Disputed results</w:t>
      </w:r>
    </w:p>
    <w:p>
      <w:pPr>
        <w:pStyle w:val="Normal"/>
      </w:pPr>
      <w:r>
        <w:t xml:space="preserve">A material dispute creates a visible flag and may suspend the affected metric or publication. The prior official result remains available with its historical status. Resolution requires evidence, not informal agreement.</w:t>
      </w:r>
    </w:p>
    <w:p>
      <w:pPr>
        <w:pStyle w:val="Heading2"/>
      </w:pPr>
      <w:r>
        <w:t xml:space="preserve">17.8 Calculation frequency</w:t>
      </w:r>
    </w:p>
    <w:p>
      <w:pPr>
        <w:pStyle w:val="Normal"/>
      </w:pPr>
      <w:r>
        <w:t xml:space="preserve">Headline VTS may update daily, but the effective movement reflects metric-specific smoothing. Material security or availability events may trigger immediate PII and VRS updates. Every publication shows observation time and calculation time separately.</w:t>
      </w:r>
    </w:p>
    <w:p>
      <w:pPr>
        <w:pStyle w:val="Normal"/>
      </w:pPr>
      <w:r>
        <w:t xml:space="preserve">Part IV — Recognition, Opportunity, Risk and Confidence</w:t>
      </w:r>
    </w:p>
    <w:p>
      <w:pPr>
        <w:pStyle w:val="Heading1"/>
        <w:pageBreakBefore/>
      </w:pPr>
      <w:r>
        <w:t xml:space="preserve">18. Value Recognition Index (VRI)</w:t>
      </w:r>
    </w:p>
    <w:p>
      <w:pPr>
        <w:pStyle w:val="Heading2"/>
      </w:pPr>
      <w:r>
        <w:t xml:space="preserve">18.1 Purpose</w:t>
      </w:r>
    </w:p>
    <w:p>
      <w:pPr>
        <w:pStyle w:val="Normal"/>
      </w:pPr>
      <w:r>
        <w:t xml:space="preserve">VRI measures how strongly markets recognise a network’s measured economic fundamentals. It is separate from VTS because market valuation can diverge from intrinsic performance for extended periods.</w:t>
      </w:r>
    </w:p>
    <w:p>
      <w:pPr>
        <w:pStyle w:val="Normal"/>
      </w:pPr>
      <w:r>
        <w:t xml:space="preserve">VRI is not a simple market-cap score. It combines valuation, liquidity-adjusted price discovery, token supply quality and the relationship between market value and economic output.</w:t>
      </w:r>
    </w:p>
    <w:p>
      <w:pPr>
        <w:pStyle w:val="Heading2"/>
      </w:pPr>
      <w:r>
        <w:t xml:space="preserve">18.2 VRI composition</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Sub-index</w:t>
            </w:r>
          </w:p>
        </w:tc>
        <w:tc>
          <w:tcPr>
            <w:tcW w:w="3033" w:type="dxa"/>
          </w:tcPr>
          <w:p>
            <w:pPr>
              <w:pStyle w:val="TableHeader"/>
            </w:pPr>
            <w:r>
              <w:t xml:space="preserve">Weight</w:t>
            </w:r>
          </w:p>
        </w:tc>
        <w:tc>
          <w:tcPr>
            <w:tcW w:w="3033" w:type="dxa"/>
          </w:tcPr>
          <w:p>
            <w:pPr>
              <w:pStyle w:val="TableHeader"/>
            </w:pPr>
            <w:r>
              <w:t xml:space="preserve">Meaning</w:t>
            </w:r>
          </w:p>
        </w:tc>
      </w:tr>
      <w:tr>
        <w:trPr>
          <w:cantSplit/>
        </w:trPr>
        <w:tc>
          <w:tcPr>
            <w:tcW w:w="3033" w:type="dxa"/>
          </w:tcPr>
          <w:p>
            <w:pPr>
              <w:pStyle w:val="TableText"/>
            </w:pPr>
            <w:r>
              <w:t xml:space="preserve">Liquidity-adjusted network valuation</w:t>
            </w:r>
          </w:p>
        </w:tc>
        <w:tc>
          <w:tcPr>
            <w:tcW w:w="3033" w:type="dxa"/>
          </w:tcPr>
          <w:p>
            <w:pPr>
              <w:pStyle w:val="TableText"/>
            </w:pPr>
            <w:r>
              <w:t xml:space="preserve">30%</w:t>
            </w:r>
          </w:p>
        </w:tc>
        <w:tc>
          <w:tcPr>
            <w:tcW w:w="3033" w:type="dxa"/>
          </w:tcPr>
          <w:p>
            <w:pPr>
              <w:pStyle w:val="TableText"/>
            </w:pPr>
            <w:r>
              <w:t xml:space="preserve">Market recognition supported by executable liquidity</w:t>
            </w:r>
          </w:p>
        </w:tc>
      </w:tr>
      <w:tr>
        <w:trPr>
          <w:cantSplit/>
        </w:trPr>
        <w:tc>
          <w:tcPr>
            <w:tcW w:w="3033" w:type="dxa"/>
          </w:tcPr>
          <w:p>
            <w:pPr>
              <w:pStyle w:val="TableText"/>
            </w:pPr>
            <w:r>
              <w:t xml:space="preserve">Fundamental valuation recognition</w:t>
            </w:r>
          </w:p>
        </w:tc>
        <w:tc>
          <w:tcPr>
            <w:tcW w:w="3033" w:type="dxa"/>
          </w:tcPr>
          <w:p>
            <w:pPr>
              <w:pStyle w:val="TableText"/>
            </w:pPr>
            <w:r>
              <w:t xml:space="preserve">25%</w:t>
            </w:r>
          </w:p>
        </w:tc>
        <w:tc>
          <w:tcPr>
            <w:tcW w:w="3033" w:type="dxa"/>
          </w:tcPr>
          <w:p>
            <w:pPr>
              <w:pStyle w:val="TableText"/>
            </w:pPr>
            <w:r>
              <w:t xml:space="preserve">Recognition relative to fees, revenue, settlement and value capture</w:t>
            </w:r>
          </w:p>
        </w:tc>
      </w:tr>
      <w:tr>
        <w:trPr>
          <w:cantSplit/>
        </w:trPr>
        <w:tc>
          <w:tcPr>
            <w:tcW w:w="3033" w:type="dxa"/>
          </w:tcPr>
          <w:p>
            <w:pPr>
              <w:pStyle w:val="TableText"/>
            </w:pPr>
            <w:r>
              <w:t xml:space="preserve">Token supply and dilution quality</w:t>
            </w:r>
          </w:p>
        </w:tc>
        <w:tc>
          <w:tcPr>
            <w:tcW w:w="3033" w:type="dxa"/>
          </w:tcPr>
          <w:p>
            <w:pPr>
              <w:pStyle w:val="TableText"/>
            </w:pPr>
            <w:r>
              <w:t xml:space="preserve">20%</w:t>
            </w:r>
          </w:p>
        </w:tc>
        <w:tc>
          <w:tcPr>
            <w:tcW w:w="3033" w:type="dxa"/>
          </w:tcPr>
          <w:p>
            <w:pPr>
              <w:pStyle w:val="TableText"/>
            </w:pPr>
            <w:r>
              <w:t xml:space="preserve">Reliability of circulating supply and future dilution profile</w:t>
            </w:r>
          </w:p>
        </w:tc>
      </w:tr>
      <w:tr>
        <w:trPr>
          <w:cantSplit/>
        </w:trPr>
        <w:tc>
          <w:tcPr>
            <w:tcW w:w="3033" w:type="dxa"/>
          </w:tcPr>
          <w:p>
            <w:pPr>
              <w:pStyle w:val="TableText"/>
            </w:pPr>
            <w:r>
              <w:t xml:space="preserve">Market breadth and accessibility</w:t>
            </w:r>
          </w:p>
        </w:tc>
        <w:tc>
          <w:tcPr>
            <w:tcW w:w="3033" w:type="dxa"/>
          </w:tcPr>
          <w:p>
            <w:pPr>
              <w:pStyle w:val="TableText"/>
            </w:pPr>
            <w:r>
              <w:t xml:space="preserve">15%</w:t>
            </w:r>
          </w:p>
        </w:tc>
        <w:tc>
          <w:tcPr>
            <w:tcW w:w="3033" w:type="dxa"/>
          </w:tcPr>
          <w:p>
            <w:pPr>
              <w:pStyle w:val="TableText"/>
            </w:pPr>
            <w:r>
              <w:t xml:space="preserve">Distribution of credible markets and participants</w:t>
            </w:r>
          </w:p>
        </w:tc>
      </w:tr>
      <w:tr>
        <w:trPr>
          <w:cantSplit/>
        </w:trPr>
        <w:tc>
          <w:tcPr>
            <w:tcW w:w="3033" w:type="dxa"/>
          </w:tcPr>
          <w:p>
            <w:pPr>
              <w:pStyle w:val="TableText"/>
            </w:pPr>
            <w:r>
              <w:t xml:space="preserve">Recognition persistence</w:t>
            </w:r>
          </w:p>
        </w:tc>
        <w:tc>
          <w:tcPr>
            <w:tcW w:w="3033" w:type="dxa"/>
          </w:tcPr>
          <w:p>
            <w:pPr>
              <w:pStyle w:val="TableText"/>
            </w:pPr>
            <w:r>
              <w:t xml:space="preserve">10%</w:t>
            </w:r>
          </w:p>
        </w:tc>
        <w:tc>
          <w:tcPr>
            <w:tcW w:w="3033" w:type="dxa"/>
          </w:tcPr>
          <w:p>
            <w:pPr>
              <w:pStyle w:val="TableText"/>
            </w:pPr>
            <w:r>
              <w:t xml:space="preserve">Durability rather than temporary speculative spikes</w:t>
            </w:r>
          </w:p>
        </w:tc>
      </w:tr>
    </w:tbl>
    <w:p>
      <w:pPr>
        <w:jc w:val="center"/>
      </w:pPr>
      <w:r>
        <w:drawing>
          <wp:inline distT="0" distB="0" distL="0" distR="0">
            <wp:extent cx="5638800" cy="282102"/>
            <wp:docPr id="30" name="Figure 30" descr="Specification figure or equation in 18. Value Recognition Index (VRI); original available in the DOCX"/>
            <a:graphic>
              <a:graphicData uri="http://schemas.openxmlformats.org/drawingml/2006/picture">
                <pic:pic>
                  <pic:nvPicPr>
                    <pic:cNvPr id="0" name="image30.png"/>
                    <pic:cNvPicPr/>
                  </pic:nvPicPr>
                  <pic:blipFill>
                    <a:blip r:embed="rId32"/>
                    <a:stretch>
                      <a:fillRect/>
                    </a:stretch>
                  </pic:blipFill>
                  <pic:spPr>
                    <a:xfrm>
                      <a:off x="0" y="0"/>
                      <a:ext cx="5638800" cy="282102"/>
                    </a:xfrm>
                    <a:prstGeom prst="rect">
                      <a:avLst/>
                    </a:prstGeom>
                  </pic:spPr>
                </pic:pic>
              </a:graphicData>
            </a:graphic>
          </wp:inline>
        </w:drawing>
      </w:r>
    </w:p>
    <w:p>
      <w:pPr>
        <w:pStyle w:val="Normal"/>
      </w:pPr>
      <w:r>
        <w:t xml:space="preserve">Each VRI sub-index is scored from 0 to 100. The core VRI is converted to the same standardised scale as VTS using a versioned recognition benchmark:</w:t>
      </w:r>
    </w:p>
    <w:p>
      <w:pPr>
        <w:jc w:val="center"/>
      </w:pPr>
      <w:r>
        <w:drawing>
          <wp:inline distT="0" distB="0" distL="0" distR="0">
            <wp:extent cx="5638800" cy="1788203"/>
            <wp:docPr id="31" name="Figure 31" descr="Specification figure or equation in 18. Value Recognition Index (VRI); original available in the DOCX"/>
            <a:graphic>
              <a:graphicData uri="http://schemas.openxmlformats.org/drawingml/2006/picture">
                <pic:pic>
                  <pic:nvPicPr>
                    <pic:cNvPr id="0" name="image31.png"/>
                    <pic:cNvPicPr/>
                  </pic:nvPicPr>
                  <pic:blipFill>
                    <a:blip r:embed="rId33"/>
                    <a:stretch>
                      <a:fillRect/>
                    </a:stretch>
                  </pic:blipFill>
                  <pic:spPr>
                    <a:xfrm>
                      <a:off x="0" y="0"/>
                      <a:ext cx="5638800" cy="1788203"/>
                    </a:xfrm>
                    <a:prstGeom prst="rect">
                      <a:avLst/>
                    </a:prstGeom>
                  </pic:spPr>
                </pic:pic>
              </a:graphicData>
            </a:graphic>
          </wp:inline>
        </w:drawing>
      </w:r>
    </w:p>
    <w:p>
      <w:pPr>
        <w:pStyle w:val="Normal"/>
      </w:pPr>
      <w:r>
        <w:t xml:space="preserve">The recognition benchmark is calibrated so that VRI and VTS are dimensionally comparable for Opportunity Gap analysis. It is not used to determine VTS.</w:t>
      </w:r>
    </w:p>
    <w:p>
      <w:pPr>
        <w:pStyle w:val="Heading2"/>
      </w:pPr>
      <w:r>
        <w:t xml:space="preserve">18.3 Liquidity-adjusted network valuation</w:t>
      </w:r>
    </w:p>
    <w:p>
      <w:pPr>
        <w:pStyle w:val="Normal"/>
      </w:pPr>
      <w:r>
        <w:t xml:space="preserve">Nominal market capitalisation is discounted when trading depth is weak. The component considers:</w:t>
      </w:r>
    </w:p>
    <w:p>
      <w:pPr>
        <w:pStyle w:val="ListParagraph"/>
      </w:pPr>
      <w:r>
        <w:t xml:space="preserve">• circulating market capitalisation under a published supply definition;</w:t>
      </w:r>
    </w:p>
    <w:p>
      <w:pPr>
        <w:pStyle w:val="ListParagraph"/>
      </w:pPr>
      <w:r>
        <w:t xml:space="preserve">• executable spot depth;</w:t>
      </w:r>
    </w:p>
    <w:p>
      <w:pPr>
        <w:pStyle w:val="ListParagraph"/>
      </w:pPr>
      <w:r>
        <w:t xml:space="preserve">• derivative liquidity and leverage concentration;</w:t>
      </w:r>
    </w:p>
    <w:p>
      <w:pPr>
        <w:pStyle w:val="ListParagraph"/>
      </w:pPr>
      <w:r>
        <w:t xml:space="preserve">• venue quality and market fragmentation;</w:t>
      </w:r>
    </w:p>
    <w:p>
      <w:pPr>
        <w:pStyle w:val="ListParagraph"/>
      </w:pPr>
      <w:r>
        <w:t xml:space="preserve">• free float and treasury or insider concentration;</w:t>
      </w:r>
    </w:p>
    <w:p>
      <w:pPr>
        <w:pStyle w:val="ListParagraph"/>
      </w:pPr>
      <w:r>
        <w:t xml:space="preserve">• price impact of representative trades.</w:t>
      </w:r>
    </w:p>
    <w:p>
      <w:pPr>
        <w:pStyle w:val="Normal"/>
      </w:pPr>
      <w:r>
        <w:t xml:space="preserve">A thin market cannot convert a high last-traded price into equivalent recognition confidence.</w:t>
      </w:r>
    </w:p>
    <w:p>
      <w:pPr>
        <w:pStyle w:val="Heading2"/>
      </w:pPr>
      <w:r>
        <w:t xml:space="preserve">18.4 Fundamental valuation recognition</w:t>
      </w:r>
    </w:p>
    <w:p>
      <w:pPr>
        <w:pStyle w:val="Normal"/>
      </w:pPr>
      <w:r>
        <w:t xml:space="preserve">This component examines whether markets assign value relative to measurable output. It may use robust, sector-aware ratios such as:</w:t>
      </w:r>
    </w:p>
    <w:p>
      <w:pPr>
        <w:pStyle w:val="ListParagraph"/>
      </w:pPr>
      <w:r>
        <w:t xml:space="preserve">• market value to annualised protocol revenue;</w:t>
      </w:r>
    </w:p>
    <w:p>
      <w:pPr>
        <w:pStyle w:val="ListParagraph"/>
      </w:pPr>
      <w:r>
        <w:t xml:space="preserve">• market value to adjusted fees;</w:t>
      </w:r>
    </w:p>
    <w:p>
      <w:pPr>
        <w:pStyle w:val="ListParagraph"/>
      </w:pPr>
      <w:r>
        <w:t xml:space="preserve">• market value to settled economic value;</w:t>
      </w:r>
    </w:p>
    <w:p>
      <w:pPr>
        <w:pStyle w:val="ListParagraph"/>
      </w:pPr>
      <w:r>
        <w:t xml:space="preserve">• market value to active economic entities;</w:t>
      </w:r>
    </w:p>
    <w:p>
      <w:pPr>
        <w:pStyle w:val="ListParagraph"/>
      </w:pPr>
      <w:r>
        <w:t xml:space="preserve">• market value to security-budget sustainability;</w:t>
      </w:r>
    </w:p>
    <w:p>
      <w:pPr>
        <w:pStyle w:val="ListParagraph"/>
      </w:pPr>
      <w:r>
        <w:t xml:space="preserve">• market value to treasury and net value capture.</w:t>
      </w:r>
    </w:p>
    <w:p>
      <w:pPr>
        <w:pStyle w:val="Normal"/>
      </w:pPr>
      <w:r>
        <w:t xml:space="preserve">No single ratio is universal. The registry defines appropriate ratio families and avoids double counting. Ratio values are winsorised and log-transformed.</w:t>
      </w:r>
    </w:p>
    <w:p>
      <w:pPr>
        <w:pStyle w:val="Heading2"/>
      </w:pPr>
      <w:r>
        <w:t xml:space="preserve">18.5 Token supply and dilution quality</w:t>
      </w:r>
    </w:p>
    <w:p>
      <w:pPr>
        <w:pStyle w:val="Normal"/>
      </w:pPr>
      <w:r>
        <w:t xml:space="preserve">Market recognition is less reliable when supply definitions are opaque or future dilution is extreme. The component considers:</w:t>
      </w:r>
    </w:p>
    <w:p>
      <w:pPr>
        <w:pStyle w:val="ListParagraph"/>
      </w:pPr>
      <w:r>
        <w:t xml:space="preserve">• verified circulating supply;</w:t>
      </w:r>
    </w:p>
    <w:p>
      <w:pPr>
        <w:pStyle w:val="ListParagraph"/>
      </w:pPr>
      <w:r>
        <w:t xml:space="preserve">• insider, foundation and treasury concentration;</w:t>
      </w:r>
    </w:p>
    <w:p>
      <w:pPr>
        <w:pStyle w:val="ListParagraph"/>
      </w:pPr>
      <w:r>
        <w:t xml:space="preserve">• vesting schedule and unlock concentration;</w:t>
      </w:r>
    </w:p>
    <w:p>
      <w:pPr>
        <w:pStyle w:val="ListParagraph"/>
      </w:pPr>
      <w:r>
        <w:t xml:space="preserve">• net issuance and inflation;</w:t>
      </w:r>
    </w:p>
    <w:p>
      <w:pPr>
        <w:pStyle w:val="ListParagraph"/>
      </w:pPr>
      <w:r>
        <w:t xml:space="preserve">• staking lock-up and liquid-staking treatment;</w:t>
      </w:r>
    </w:p>
    <w:p>
      <w:pPr>
        <w:pStyle w:val="ListParagraph"/>
      </w:pPr>
      <w:r>
        <w:t xml:space="preserve">• bridge, wrapped and duplicated supply;</w:t>
      </w:r>
    </w:p>
    <w:p>
      <w:pPr>
        <w:pStyle w:val="ListParagraph"/>
      </w:pPr>
      <w:r>
        <w:t xml:space="preserve">• burn and buyback credibility;</w:t>
      </w:r>
    </w:p>
    <w:p>
      <w:pPr>
        <w:pStyle w:val="ListParagraph"/>
      </w:pPr>
      <w:r>
        <w:t xml:space="preserve">• governance discretion over supply.</w:t>
      </w:r>
    </w:p>
    <w:p>
      <w:pPr>
        <w:pStyle w:val="Heading2"/>
      </w:pPr>
      <w:r>
        <w:t xml:space="preserve">18.6 Market breadth and accessibility</w:t>
      </w:r>
    </w:p>
    <w:p>
      <w:pPr>
        <w:pStyle w:val="Normal"/>
      </w:pPr>
      <w:r>
        <w:t xml:space="preserve">Recognition is stronger when price discovery is distributed across credible venues, jurisdictions and participant types. The component measures market concentration, custody accessibility, settlement quality and dependence on one exchange or market maker.</w:t>
      </w:r>
    </w:p>
    <w:p>
      <w:pPr>
        <w:pStyle w:val="Heading2"/>
      </w:pPr>
      <w:r>
        <w:t xml:space="preserve">18.7 Recognition persistence</w:t>
      </w:r>
    </w:p>
    <w:p>
      <w:pPr>
        <w:pStyle w:val="Normal"/>
      </w:pPr>
      <w:r>
        <w:t xml:space="preserve">Short-lived price spikes are smoothed. The component compares 30-, 90- and 365-day recognition with volatility, liquidity and fundamental change. A speculative increase unsupported by VTS does not automatically receive full persistent recognition.</w:t>
      </w:r>
    </w:p>
    <w:p>
      <w:pPr>
        <w:pStyle w:val="Heading2"/>
      </w:pPr>
      <w:r>
        <w:t xml:space="preserve">18.8 Interpretation</w:t>
      </w:r>
    </w:p>
    <w:p>
      <w:pPr>
        <w:pStyle w:val="Normal"/>
      </w:pPr>
      <w:r>
        <w:t xml:space="preserve">VRI answers: How much recognition has the market assigned, and how credible is that recognition? It does not answer whether the market is correct. That comparison is made by the Opportunity Gap.</w:t>
      </w:r>
    </w:p>
    <w:p>
      <w:pPr>
        <w:pStyle w:val="Heading1"/>
        <w:pageBreakBefore/>
      </w:pPr>
      <w:r>
        <w:t xml:space="preserve">19. Opportunity Gap</w:t>
      </w:r>
    </w:p>
    <w:p>
      <w:pPr>
        <w:pStyle w:val="Heading2"/>
      </w:pPr>
      <w:r>
        <w:t xml:space="preserve">19.1 Definition</w:t>
      </w:r>
    </w:p>
    <w:p>
      <w:pPr>
        <w:pStyle w:val="Normal"/>
      </w:pPr>
      <w:r>
        <w:t xml:space="preserve">The Opportunity Gap compares standardised intrinsic measurement with standardised market recognition:</w:t>
      </w:r>
    </w:p>
    <w:p>
      <w:pPr>
        <w:jc w:val="center"/>
      </w:pPr>
      <w:r>
        <w:drawing>
          <wp:inline distT="0" distB="0" distL="0" distR="0">
            <wp:extent cx="5638800" cy="544900"/>
            <wp:docPr id="32" name="Figure 32" descr="Specification figure or equation in 19. Opportunity Gap; original available in the DOCX"/>
            <a:graphic>
              <a:graphicData uri="http://schemas.openxmlformats.org/drawingml/2006/picture">
                <pic:pic>
                  <pic:nvPicPr>
                    <pic:cNvPr id="0" name="image32.png"/>
                    <pic:cNvPicPr/>
                  </pic:nvPicPr>
                  <pic:blipFill>
                    <a:blip r:embed="rId34"/>
                    <a:stretch>
                      <a:fillRect/>
                    </a:stretch>
                  </pic:blipFill>
                  <pic:spPr>
                    <a:xfrm>
                      <a:off x="0" y="0"/>
                      <a:ext cx="5638800" cy="544900"/>
                    </a:xfrm>
                    <a:prstGeom prst="rect">
                      <a:avLst/>
                    </a:prstGeom>
                  </pic:spPr>
                </pic:pic>
              </a:graphicData>
            </a:graphic>
          </wp:inline>
        </w:drawing>
      </w:r>
    </w:p>
    <w:p>
      <w:pPr>
        <w:pStyle w:val="Heading2"/>
      </w:pPr>
      <w:r>
        <w:t xml:space="preserve">19.2 Interpretation</w:t>
      </w:r>
    </w:p>
    <w:p>
      <w:pPr>
        <w:pStyle w:val="ListParagraph"/>
      </w:pPr>
      <w:r>
        <w:t xml:space="preserve">• Positive gap — measured fundamentals exceed market recognition.</w:t>
      </w:r>
    </w:p>
    <w:p>
      <w:pPr>
        <w:pStyle w:val="ListParagraph"/>
      </w:pPr>
      <w:r>
        <w:t xml:space="preserve">• Near-zero gap — recognition is broadly aligned with the framework’s intrinsic measurement.</w:t>
      </w:r>
    </w:p>
    <w:p>
      <w:pPr>
        <w:pStyle w:val="ListParagraph"/>
      </w:pPr>
      <w:r>
        <w:t xml:space="preserve">• Negative gap — market recognition exceeds measured fundamentals.</w:t>
      </w:r>
    </w:p>
    <w:p>
      <w:pPr>
        <w:pStyle w:val="Normal"/>
      </w:pPr>
      <w:r>
        <w:t xml:space="preserve">The Opportunity Gap is a research signal, not a guaranteed trading opportunity. A positive gap may persist because of legal uncertainty, token-design weakness, inaccessible markets, governance risk or incomplete value capture. A negative gap may reflect rational expectations of future growth not yet visible in historical data.</w:t>
      </w:r>
    </w:p>
    <w:p>
      <w:pPr>
        <w:pStyle w:val="Heading2"/>
      </w:pPr>
      <w:r>
        <w:t xml:space="preserve">19.3 Relative gap</w:t>
      </w:r>
    </w:p>
    <w:p>
      <w:pPr>
        <w:pStyle w:val="Normal"/>
      </w:pPr>
      <w:r>
        <w:t xml:space="preserve">For comparisons where scale matters, the framework may publish:</w:t>
      </w:r>
    </w:p>
    <w:p>
      <w:pPr>
        <w:jc w:val="center"/>
      </w:pPr>
      <w:r>
        <w:drawing>
          <wp:inline distT="0" distB="0" distL="0" distR="0">
            <wp:extent cx="5638800" cy="1030092"/>
            <wp:docPr id="33" name="Figure 33" descr="Specification figure or equation in 19. Opportunity Gap; original available in the DOCX"/>
            <a:graphic>
              <a:graphicData uri="http://schemas.openxmlformats.org/drawingml/2006/picture">
                <pic:pic>
                  <pic:nvPicPr>
                    <pic:cNvPr id="0" name="image33.png"/>
                    <pic:cNvPicPr/>
                  </pic:nvPicPr>
                  <pic:blipFill>
                    <a:blip r:embed="rId35"/>
                    <a:stretch>
                      <a:fillRect/>
                    </a:stretch>
                  </pic:blipFill>
                  <pic:spPr>
                    <a:xfrm>
                      <a:off x="0" y="0"/>
                      <a:ext cx="5638800" cy="1030092"/>
                    </a:xfrm>
                    <a:prstGeom prst="rect">
                      <a:avLst/>
                    </a:prstGeom>
                  </pic:spPr>
                </pic:pic>
              </a:graphicData>
            </a:graphic>
          </wp:inline>
        </w:drawing>
      </w:r>
    </w:p>
    <w:p>
      <w:pPr>
        <w:pStyle w:val="Normal"/>
      </w:pPr>
      <w:r>
        <w:t xml:space="preserve">where ε prevents division by zero. The absolute gap remains the constitutional headline measure.</w:t>
      </w:r>
    </w:p>
    <w:p>
      <w:pPr>
        <w:pStyle w:val="Heading2"/>
      </w:pPr>
      <w:r>
        <w:t xml:space="preserve">19.4 Gap attribution</w:t>
      </w:r>
    </w:p>
    <w:p>
      <w:pPr>
        <w:pStyle w:val="Normal"/>
      </w:pPr>
      <w:r>
        <w:t xml:space="preserve">Every published Opportunity Gap includes attribution showing which factors drive the difference. Typical drivers include:</w:t>
      </w:r>
    </w:p>
    <w:p>
      <w:pPr>
        <w:pStyle w:val="ListParagraph"/>
      </w:pPr>
      <w:r>
        <w:t xml:space="preserve">• high PoV with weak market accessibility;</w:t>
      </w:r>
    </w:p>
    <w:p>
      <w:pPr>
        <w:pStyle w:val="ListParagraph"/>
      </w:pPr>
      <w:r>
        <w:t xml:space="preserve">• strong RWAI not captured by token economics;</w:t>
      </w:r>
    </w:p>
    <w:p>
      <w:pPr>
        <w:pStyle w:val="ListParagraph"/>
      </w:pPr>
      <w:r>
        <w:t xml:space="preserve">• high recognition but weak ERI;</w:t>
      </w:r>
    </w:p>
    <w:p>
      <w:pPr>
        <w:pStyle w:val="ListParagraph"/>
      </w:pPr>
      <w:r>
        <w:t xml:space="preserve">• strong market narrative with low value capture;</w:t>
      </w:r>
    </w:p>
    <w:p>
      <w:pPr>
        <w:pStyle w:val="ListParagraph"/>
      </w:pPr>
      <w:r>
        <w:t xml:space="preserve">• large future dilution;</w:t>
      </w:r>
    </w:p>
    <w:p>
      <w:pPr>
        <w:pStyle w:val="ListParagraph"/>
      </w:pPr>
      <w:r>
        <w:t xml:space="preserve">• low confidence in one or more intrinsic indices.</w:t>
      </w:r>
    </w:p>
    <w:p>
      <w:pPr>
        <w:pStyle w:val="Heading2"/>
      </w:pPr>
      <w:r>
        <w:t xml:space="preserve">19.5 Confidence-adjusted use</w:t>
      </w:r>
    </w:p>
    <w:p>
      <w:pPr>
        <w:pStyle w:val="Normal"/>
      </w:pPr>
      <w:r>
        <w:t xml:space="preserve">Opportunity Gap should be interpreted jointly with VRS and VCS. A large positive gap with low VCS is an unresolved research question, not a high-conviction conclusion. A positive gap with high VRS may represent a genuine risk premium.</w:t>
      </w:r>
    </w:p>
    <w:p>
      <w:pPr>
        <w:pStyle w:val="Normal"/>
      </w:pPr>
      <w:r>
        <w:t xml:space="preserve">A diagnostic confidence-adjusted gap may be shown as:</w:t>
      </w:r>
    </w:p>
    <w:p>
      <w:pPr>
        <w:jc w:val="center"/>
      </w:pPr>
      <w:r>
        <w:drawing>
          <wp:inline distT="0" distB="0" distL="0" distR="0">
            <wp:extent cx="5638800" cy="643559"/>
            <wp:docPr id="34" name="Figure 34" descr="Specification figure or equation in 19. Opportunity Gap; original available in the DOCX"/>
            <a:graphic>
              <a:graphicData uri="http://schemas.openxmlformats.org/drawingml/2006/picture">
                <pic:pic>
                  <pic:nvPicPr>
                    <pic:cNvPr id="0" name="image34.png"/>
                    <pic:cNvPicPr/>
                  </pic:nvPicPr>
                  <pic:blipFill>
                    <a:blip r:embed="rId36"/>
                    <a:stretch>
                      <a:fillRect/>
                    </a:stretch>
                  </pic:blipFill>
                  <pic:spPr>
                    <a:xfrm>
                      <a:off x="0" y="0"/>
                      <a:ext cx="5638800" cy="643559"/>
                    </a:xfrm>
                    <a:prstGeom prst="rect">
                      <a:avLst/>
                    </a:prstGeom>
                  </pic:spPr>
                </pic:pic>
              </a:graphicData>
            </a:graphic>
          </wp:inline>
        </w:drawing>
      </w:r>
    </w:p>
    <w:p>
      <w:pPr>
        <w:pStyle w:val="Normal"/>
      </w:pPr>
      <w:r>
        <w:t xml:space="preserve">This diagnostic is not part of the constitutional headline outputs and must be labelled accordingly.</w:t>
      </w:r>
    </w:p>
    <w:p>
      <w:pPr>
        <w:pStyle w:val="Heading1"/>
        <w:pageBreakBefore/>
      </w:pPr>
      <w:r>
        <w:t xml:space="preserve">20. VOX Risk Score (VRS)</w:t>
      </w:r>
    </w:p>
    <w:p>
      <w:pPr>
        <w:pStyle w:val="Heading2"/>
      </w:pPr>
      <w:r>
        <w:t xml:space="preserve">20.1 Purpose</w:t>
      </w:r>
    </w:p>
    <w:p>
      <w:pPr>
        <w:pStyle w:val="Normal"/>
      </w:pPr>
      <w:r>
        <w:t xml:space="preserve">VRS summarises structural risks that may not be fully visible in VTS. Higher VRS means greater aggregate risk. It does not predict the probability or magnitude of every future loss.</w:t>
      </w:r>
    </w:p>
    <w:p>
      <w:pPr>
        <w:pStyle w:val="Heading2"/>
      </w:pPr>
      <w:r>
        <w:t xml:space="preserve">20.2 VRS composition</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Risk domain</w:t>
            </w:r>
          </w:p>
        </w:tc>
        <w:tc>
          <w:tcPr>
            <w:tcW w:w="3033" w:type="dxa"/>
          </w:tcPr>
          <w:p>
            <w:pPr>
              <w:pStyle w:val="TableHeader"/>
            </w:pPr>
            <w:r>
              <w:t xml:space="preserve">Weight</w:t>
            </w:r>
          </w:p>
        </w:tc>
        <w:tc>
          <w:tcPr>
            <w:tcW w:w="3033" w:type="dxa"/>
          </w:tcPr>
          <w:p>
            <w:pPr>
              <w:pStyle w:val="TableHeader"/>
            </w:pPr>
            <w:r>
              <w:t xml:space="preserve">Examples</w:t>
            </w:r>
          </w:p>
        </w:tc>
      </w:tr>
      <w:tr>
        <w:trPr>
          <w:cantSplit/>
        </w:trPr>
        <w:tc>
          <w:tcPr>
            <w:tcW w:w="3033" w:type="dxa"/>
          </w:tcPr>
          <w:p>
            <w:pPr>
              <w:pStyle w:val="TableText"/>
            </w:pPr>
            <w:r>
              <w:t xml:space="preserve">Protocol and cybersecurity risk</w:t>
            </w:r>
          </w:p>
        </w:tc>
        <w:tc>
          <w:tcPr>
            <w:tcW w:w="3033" w:type="dxa"/>
          </w:tcPr>
          <w:p>
            <w:pPr>
              <w:pStyle w:val="TableText"/>
            </w:pPr>
            <w:r>
              <w:t xml:space="preserve">20%</w:t>
            </w:r>
          </w:p>
        </w:tc>
        <w:tc>
          <w:tcPr>
            <w:tcW w:w="3033" w:type="dxa"/>
          </w:tcPr>
          <w:p>
            <w:pPr>
              <w:pStyle w:val="TableText"/>
            </w:pPr>
            <w:r>
              <w:t xml:space="preserve">Consensus flaws, smart-contract exposure, key compromise</w:t>
            </w:r>
          </w:p>
        </w:tc>
      </w:tr>
      <w:tr>
        <w:trPr>
          <w:cantSplit/>
        </w:trPr>
        <w:tc>
          <w:tcPr>
            <w:tcW w:w="3033" w:type="dxa"/>
          </w:tcPr>
          <w:p>
            <w:pPr>
              <w:pStyle w:val="TableText"/>
            </w:pPr>
            <w:r>
              <w:t xml:space="preserve">Governance and control risk</w:t>
            </w:r>
          </w:p>
        </w:tc>
        <w:tc>
          <w:tcPr>
            <w:tcW w:w="3033" w:type="dxa"/>
          </w:tcPr>
          <w:p>
            <w:pPr>
              <w:pStyle w:val="TableText"/>
            </w:pPr>
            <w:r>
              <w:t xml:space="preserve">15%</w:t>
            </w:r>
          </w:p>
        </w:tc>
        <w:tc>
          <w:tcPr>
            <w:tcW w:w="3033" w:type="dxa"/>
          </w:tcPr>
          <w:p>
            <w:pPr>
              <w:pStyle w:val="TableText"/>
            </w:pPr>
            <w:r>
              <w:t xml:space="preserve">Capture, emergency powers, opaque upgrades</w:t>
            </w:r>
          </w:p>
        </w:tc>
      </w:tr>
      <w:tr>
        <w:trPr>
          <w:cantSplit/>
        </w:trPr>
        <w:tc>
          <w:tcPr>
            <w:tcW w:w="3033" w:type="dxa"/>
          </w:tcPr>
          <w:p>
            <w:pPr>
              <w:pStyle w:val="TableText"/>
            </w:pPr>
            <w:r>
              <w:t xml:space="preserve">Economic and token-design risk</w:t>
            </w:r>
          </w:p>
        </w:tc>
        <w:tc>
          <w:tcPr>
            <w:tcW w:w="3033" w:type="dxa"/>
          </w:tcPr>
          <w:p>
            <w:pPr>
              <w:pStyle w:val="TableText"/>
            </w:pPr>
            <w:r>
              <w:t xml:space="preserve">20%</w:t>
            </w:r>
          </w:p>
        </w:tc>
        <w:tc>
          <w:tcPr>
            <w:tcW w:w="3033" w:type="dxa"/>
          </w:tcPr>
          <w:p>
            <w:pPr>
              <w:pStyle w:val="TableText"/>
            </w:pPr>
            <w:r>
              <w:t xml:space="preserve">Dilution, weak value capture, incentive dependence</w:t>
            </w:r>
          </w:p>
        </w:tc>
      </w:tr>
      <w:tr>
        <w:trPr>
          <w:cantSplit/>
        </w:trPr>
        <w:tc>
          <w:tcPr>
            <w:tcW w:w="3033" w:type="dxa"/>
          </w:tcPr>
          <w:p>
            <w:pPr>
              <w:pStyle w:val="TableText"/>
            </w:pPr>
            <w:r>
              <w:t xml:space="preserve">Liquidity and market-structure risk</w:t>
            </w:r>
          </w:p>
        </w:tc>
        <w:tc>
          <w:tcPr>
            <w:tcW w:w="3033" w:type="dxa"/>
          </w:tcPr>
          <w:p>
            <w:pPr>
              <w:pStyle w:val="TableText"/>
            </w:pPr>
            <w:r>
              <w:t xml:space="preserve">15%</w:t>
            </w:r>
          </w:p>
        </w:tc>
        <w:tc>
          <w:tcPr>
            <w:tcW w:w="3033" w:type="dxa"/>
          </w:tcPr>
          <w:p>
            <w:pPr>
              <w:pStyle w:val="TableText"/>
            </w:pPr>
            <w:r>
              <w:t xml:space="preserve">Thin depth, leverage, concentration, de-peg exposure</w:t>
            </w:r>
          </w:p>
        </w:tc>
      </w:tr>
      <w:tr>
        <w:trPr>
          <w:cantSplit/>
        </w:trPr>
        <w:tc>
          <w:tcPr>
            <w:tcW w:w="3033" w:type="dxa"/>
          </w:tcPr>
          <w:p>
            <w:pPr>
              <w:pStyle w:val="TableText"/>
            </w:pPr>
            <w:r>
              <w:t xml:space="preserve">Dependency and interoperability risk</w:t>
            </w:r>
          </w:p>
        </w:tc>
        <w:tc>
          <w:tcPr>
            <w:tcW w:w="3033" w:type="dxa"/>
          </w:tcPr>
          <w:p>
            <w:pPr>
              <w:pStyle w:val="TableText"/>
            </w:pPr>
            <w:r>
              <w:t xml:space="preserve">15%</w:t>
            </w:r>
          </w:p>
        </w:tc>
        <w:tc>
          <w:tcPr>
            <w:tcW w:w="3033" w:type="dxa"/>
          </w:tcPr>
          <w:p>
            <w:pPr>
              <w:pStyle w:val="TableText"/>
            </w:pPr>
            <w:r>
              <w:t xml:space="preserve">Bridges, oracles, sequencers, data availability, external issuers</w:t>
            </w:r>
          </w:p>
        </w:tc>
      </w:tr>
      <w:tr>
        <w:trPr>
          <w:cantSplit/>
        </w:trPr>
        <w:tc>
          <w:tcPr>
            <w:tcW w:w="3033" w:type="dxa"/>
          </w:tcPr>
          <w:p>
            <w:pPr>
              <w:pStyle w:val="TableText"/>
            </w:pPr>
            <w:r>
              <w:t xml:space="preserve">Legal, regulatory and operational risk</w:t>
            </w:r>
          </w:p>
        </w:tc>
        <w:tc>
          <w:tcPr>
            <w:tcW w:w="3033" w:type="dxa"/>
          </w:tcPr>
          <w:p>
            <w:pPr>
              <w:pStyle w:val="TableText"/>
            </w:pPr>
            <w:r>
              <w:t xml:space="preserve">15%</w:t>
            </w:r>
          </w:p>
        </w:tc>
        <w:tc>
          <w:tcPr>
            <w:tcW w:w="3033" w:type="dxa"/>
          </w:tcPr>
          <w:p>
            <w:pPr>
              <w:pStyle w:val="TableText"/>
            </w:pPr>
            <w:r>
              <w:t xml:space="preserve">Jurisdiction, custody, compliance, operational concentration</w:t>
            </w:r>
          </w:p>
        </w:tc>
      </w:tr>
    </w:tbl>
    <w:p>
      <w:pPr>
        <w:jc w:val="center"/>
      </w:pPr>
      <w:r>
        <w:drawing>
          <wp:inline distT="0" distB="0" distL="0" distR="0">
            <wp:extent cx="5638800" cy="241048"/>
            <wp:docPr id="35" name="Figure 35" descr="Specification figure or equation in 20. VOX Risk Score (VRS); original available in the DOCX"/>
            <a:graphic>
              <a:graphicData uri="http://schemas.openxmlformats.org/drawingml/2006/picture">
                <pic:pic>
                  <pic:nvPicPr>
                    <pic:cNvPr id="0" name="image35.png"/>
                    <pic:cNvPicPr/>
                  </pic:nvPicPr>
                  <pic:blipFill>
                    <a:blip r:embed="rId37"/>
                    <a:stretch>
                      <a:fillRect/>
                    </a:stretch>
                  </pic:blipFill>
                  <pic:spPr>
                    <a:xfrm>
                      <a:off x="0" y="0"/>
                      <a:ext cx="5638800" cy="241048"/>
                    </a:xfrm>
                    <a:prstGeom prst="rect">
                      <a:avLst/>
                    </a:prstGeom>
                  </pic:spPr>
                </pic:pic>
              </a:graphicData>
            </a:graphic>
          </wp:inline>
        </w:drawing>
      </w:r>
    </w:p>
    <w:p>
      <w:pPr>
        <w:pStyle w:val="Normal"/>
      </w:pPr>
      <w:r>
        <w:t xml:space="preserve">Each domain is scored from 0 to 100, where 100 represents the highest risk.</w:t>
      </w:r>
    </w:p>
    <w:p>
      <w:pPr>
        <w:pStyle w:val="Heading2"/>
      </w:pPr>
      <w:r>
        <w:t xml:space="preserve">20.3 Protocol and cybersecurity risk</w:t>
      </w:r>
    </w:p>
    <w:p>
      <w:pPr>
        <w:pStyle w:val="Normal"/>
      </w:pPr>
      <w:r>
        <w:t xml:space="preserve">This domain considers attack surface, code complexity, critical contracts, consensus assumptions, unresolved vulnerabilities, incident history and remediation. It complements PII by converting integrity weaknesses into an explicit risk scale.</w:t>
      </w:r>
    </w:p>
    <w:p>
      <w:pPr>
        <w:pStyle w:val="Heading2"/>
      </w:pPr>
      <w:r>
        <w:t xml:space="preserve">20.4 Governance and control risk</w:t>
      </w:r>
    </w:p>
    <w:p>
      <w:pPr>
        <w:pStyle w:val="Normal"/>
      </w:pPr>
      <w:r>
        <w:t xml:space="preserve">Governance risk includes voting concentration, key-person dependence, privileged contracts, emergency controls, foundation influence, upgrade opacity and the ability to alter economic rules without adequate delay or consent.</w:t>
      </w:r>
    </w:p>
    <w:p>
      <w:pPr>
        <w:pStyle w:val="Heading2"/>
      </w:pPr>
      <w:r>
        <w:t xml:space="preserve">20.5 Economic and token-design risk</w:t>
      </w:r>
    </w:p>
    <w:p>
      <w:pPr>
        <w:pStyle w:val="Normal"/>
      </w:pPr>
      <w:r>
        <w:t xml:space="preserve">This domain considers future unlocks, inflation, reflexive collateral, circular incentives, unsustainable yields, treasury concentration, weak value capture and dependence on continued token-price appreciation.</w:t>
      </w:r>
    </w:p>
    <w:p>
      <w:pPr>
        <w:pStyle w:val="Heading2"/>
      </w:pPr>
      <w:r>
        <w:t xml:space="preserve">20.6 Liquidity and market-structure risk</w:t>
      </w:r>
    </w:p>
    <w:p>
      <w:pPr>
        <w:pStyle w:val="Normal"/>
      </w:pPr>
      <w:r>
        <w:t xml:space="preserve">This domain incorporates thin depth, leverage, liquidation cascades, fragmented price discovery, stablecoin concentration and market-maker dependence. A network can have a reasonable DLI under normal conditions while retaining significant tail risk.</w:t>
      </w:r>
    </w:p>
    <w:p>
      <w:pPr>
        <w:pStyle w:val="Heading2"/>
      </w:pPr>
      <w:r>
        <w:t xml:space="preserve">20.7 Dependency and interoperability risk</w:t>
      </w:r>
    </w:p>
    <w:p>
      <w:pPr>
        <w:pStyle w:val="Normal"/>
      </w:pPr>
      <w:r>
        <w:t xml:space="preserve">Dependencies include bridges, messaging layers, oracles, data-availability layers, sequencers, custodians, stablecoin issuers and external governance. The score considers both the number of dependencies and their correlated failure risk.</w:t>
      </w:r>
    </w:p>
    <w:p>
      <w:pPr>
        <w:pStyle w:val="Heading2"/>
      </w:pPr>
      <w:r>
        <w:t xml:space="preserve">20.8 Legal, regulatory and operational risk</w:t>
      </w:r>
    </w:p>
    <w:p>
      <w:pPr>
        <w:pStyle w:val="Normal"/>
      </w:pPr>
      <w:r>
        <w:t xml:space="preserve">This domain includes enforceability, issuer or foundation exposure, sanctions or compliance dependencies, custody structure, geographic concentration, business continuity and uncertainty around asset classification. Legal analysis is jurisdiction-specific and must be updated as law changes.</w:t>
      </w:r>
    </w:p>
    <w:p>
      <w:pPr>
        <w:pStyle w:val="Heading2"/>
      </w:pPr>
      <w:r>
        <w:t xml:space="preserve">20.9 Risk bands</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VRS</w:t>
            </w:r>
          </w:p>
        </w:tc>
        <w:tc>
          <w:tcPr>
            <w:tcW w:w="4550" w:type="dxa"/>
          </w:tcPr>
          <w:p>
            <w:pPr>
              <w:pStyle w:val="TableHeader"/>
            </w:pPr>
            <w:r>
              <w:t xml:space="preserve">Risk band</w:t>
            </w:r>
          </w:p>
        </w:tc>
      </w:tr>
      <w:tr>
        <w:trPr>
          <w:cantSplit/>
        </w:trPr>
        <w:tc>
          <w:tcPr>
            <w:tcW w:w="4550" w:type="dxa"/>
          </w:tcPr>
          <w:p>
            <w:pPr>
              <w:pStyle w:val="TableText"/>
            </w:pPr>
            <w:r>
              <w:t xml:space="preserve">0–19</w:t>
            </w:r>
          </w:p>
        </w:tc>
        <w:tc>
          <w:tcPr>
            <w:tcW w:w="4550" w:type="dxa"/>
          </w:tcPr>
          <w:p>
            <w:pPr>
              <w:pStyle w:val="TableText"/>
            </w:pPr>
            <w:r>
              <w:t xml:space="preserve">Low measured structural risk</w:t>
            </w:r>
          </w:p>
        </w:tc>
      </w:tr>
      <w:tr>
        <w:trPr>
          <w:cantSplit/>
        </w:trPr>
        <w:tc>
          <w:tcPr>
            <w:tcW w:w="4550" w:type="dxa"/>
          </w:tcPr>
          <w:p>
            <w:pPr>
              <w:pStyle w:val="TableText"/>
            </w:pPr>
            <w:r>
              <w:t xml:space="preserve">20–39</w:t>
            </w:r>
          </w:p>
        </w:tc>
        <w:tc>
          <w:tcPr>
            <w:tcW w:w="4550" w:type="dxa"/>
          </w:tcPr>
          <w:p>
            <w:pPr>
              <w:pStyle w:val="TableText"/>
            </w:pPr>
            <w:r>
              <w:t xml:space="preserve">Moderate-low</w:t>
            </w:r>
          </w:p>
        </w:tc>
      </w:tr>
      <w:tr>
        <w:trPr>
          <w:cantSplit/>
        </w:trPr>
        <w:tc>
          <w:tcPr>
            <w:tcW w:w="4550" w:type="dxa"/>
          </w:tcPr>
          <w:p>
            <w:pPr>
              <w:pStyle w:val="TableText"/>
            </w:pPr>
            <w:r>
              <w:t xml:space="preserve">40–59</w:t>
            </w:r>
          </w:p>
        </w:tc>
        <w:tc>
          <w:tcPr>
            <w:tcW w:w="4550" w:type="dxa"/>
          </w:tcPr>
          <w:p>
            <w:pPr>
              <w:pStyle w:val="TableText"/>
            </w:pPr>
            <w:r>
              <w:t xml:space="preserve">Moderate</w:t>
            </w:r>
          </w:p>
        </w:tc>
      </w:tr>
      <w:tr>
        <w:trPr>
          <w:cantSplit/>
        </w:trPr>
        <w:tc>
          <w:tcPr>
            <w:tcW w:w="4550" w:type="dxa"/>
          </w:tcPr>
          <w:p>
            <w:pPr>
              <w:pStyle w:val="TableText"/>
            </w:pPr>
            <w:r>
              <w:t xml:space="preserve">60–79</w:t>
            </w:r>
          </w:p>
        </w:tc>
        <w:tc>
          <w:tcPr>
            <w:tcW w:w="4550" w:type="dxa"/>
          </w:tcPr>
          <w:p>
            <w:pPr>
              <w:pStyle w:val="TableText"/>
            </w:pPr>
            <w:r>
              <w:t xml:space="preserve">High</w:t>
            </w:r>
          </w:p>
        </w:tc>
      </w:tr>
      <w:tr>
        <w:trPr>
          <w:cantSplit/>
        </w:trPr>
        <w:tc>
          <w:tcPr>
            <w:tcW w:w="4550" w:type="dxa"/>
          </w:tcPr>
          <w:p>
            <w:pPr>
              <w:pStyle w:val="TableText"/>
            </w:pPr>
            <w:r>
              <w:t xml:space="preserve">80–100</w:t>
            </w:r>
          </w:p>
        </w:tc>
        <w:tc>
          <w:tcPr>
            <w:tcW w:w="4550" w:type="dxa"/>
          </w:tcPr>
          <w:p>
            <w:pPr>
              <w:pStyle w:val="TableText"/>
            </w:pPr>
            <w:r>
              <w:t xml:space="preserve">Very high</w:t>
            </w:r>
          </w:p>
        </w:tc>
      </w:tr>
    </w:tbl>
    <w:p>
      <w:pPr>
        <w:pStyle w:val="Normal"/>
      </w:pPr>
      <w:r>
        <w:t xml:space="preserve">Risk bands are comparative and model-based. “Low” does not mean risk-free.</w:t>
      </w:r>
    </w:p>
    <w:p>
      <w:pPr>
        <w:pStyle w:val="Heading1"/>
        <w:pageBreakBefore/>
      </w:pPr>
      <w:r>
        <w:t xml:space="preserve">21. VOX Confidence Score (VCS)</w:t>
      </w:r>
    </w:p>
    <w:p>
      <w:pPr>
        <w:pStyle w:val="Heading2"/>
      </w:pPr>
      <w:r>
        <w:t xml:space="preserve">21.1 Purpose</w:t>
      </w:r>
    </w:p>
    <w:p>
      <w:pPr>
        <w:pStyle w:val="Normal"/>
      </w:pPr>
      <w:r>
        <w:t xml:space="preserve">VCS measures confidence in the evidence, adapter and calculation. It prevents precision from being confused with certainty.</w:t>
      </w:r>
    </w:p>
    <w:p>
      <w:pPr>
        <w:pStyle w:val="Heading2"/>
      </w:pPr>
      <w:r>
        <w:t xml:space="preserve">21.2 VCS composition</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Confidence domain</w:t>
            </w:r>
          </w:p>
        </w:tc>
        <w:tc>
          <w:tcPr>
            <w:tcW w:w="3033" w:type="dxa"/>
          </w:tcPr>
          <w:p>
            <w:pPr>
              <w:pStyle w:val="TableHeader"/>
            </w:pPr>
            <w:r>
              <w:t xml:space="preserve">Weight</w:t>
            </w:r>
          </w:p>
        </w:tc>
        <w:tc>
          <w:tcPr>
            <w:tcW w:w="3033" w:type="dxa"/>
          </w:tcPr>
          <w:p>
            <w:pPr>
              <w:pStyle w:val="TableHeader"/>
            </w:pPr>
            <w:r>
              <w:t xml:space="preserve">Evidence</w:t>
            </w:r>
          </w:p>
        </w:tc>
      </w:tr>
      <w:tr>
        <w:trPr>
          <w:cantSplit/>
        </w:trPr>
        <w:tc>
          <w:tcPr>
            <w:tcW w:w="3033" w:type="dxa"/>
          </w:tcPr>
          <w:p>
            <w:pPr>
              <w:pStyle w:val="TableText"/>
            </w:pPr>
            <w:r>
              <w:t xml:space="preserve">Data coverage</w:t>
            </w:r>
          </w:p>
        </w:tc>
        <w:tc>
          <w:tcPr>
            <w:tcW w:w="3033" w:type="dxa"/>
          </w:tcPr>
          <w:p>
            <w:pPr>
              <w:pStyle w:val="TableText"/>
            </w:pPr>
            <w:r>
              <w:t xml:space="preserve">25%</w:t>
            </w:r>
          </w:p>
        </w:tc>
        <w:tc>
          <w:tcPr>
            <w:tcW w:w="3033" w:type="dxa"/>
          </w:tcPr>
          <w:p>
            <w:pPr>
              <w:pStyle w:val="TableText"/>
            </w:pPr>
            <w:r>
              <w:t xml:space="preserve">Share of approved metric weight observed</w:t>
            </w:r>
          </w:p>
        </w:tc>
      </w:tr>
      <w:tr>
        <w:trPr>
          <w:cantSplit/>
        </w:trPr>
        <w:tc>
          <w:tcPr>
            <w:tcW w:w="3033" w:type="dxa"/>
          </w:tcPr>
          <w:p>
            <w:pPr>
              <w:pStyle w:val="TableText"/>
            </w:pPr>
            <w:r>
              <w:t xml:space="preserve">Source quality and independence</w:t>
            </w:r>
          </w:p>
        </w:tc>
        <w:tc>
          <w:tcPr>
            <w:tcW w:w="3033" w:type="dxa"/>
          </w:tcPr>
          <w:p>
            <w:pPr>
              <w:pStyle w:val="TableText"/>
            </w:pPr>
            <w:r>
              <w:t xml:space="preserve">20%</w:t>
            </w:r>
          </w:p>
        </w:tc>
        <w:tc>
          <w:tcPr>
            <w:tcW w:w="3033" w:type="dxa"/>
          </w:tcPr>
          <w:p>
            <w:pPr>
              <w:pStyle w:val="TableText"/>
            </w:pPr>
            <w:r>
              <w:t xml:space="preserve">Canonical data, independent corroboration, public access</w:t>
            </w:r>
          </w:p>
        </w:tc>
      </w:tr>
      <w:tr>
        <w:trPr>
          <w:cantSplit/>
        </w:trPr>
        <w:tc>
          <w:tcPr>
            <w:tcW w:w="3033" w:type="dxa"/>
          </w:tcPr>
          <w:p>
            <w:pPr>
              <w:pStyle w:val="TableText"/>
            </w:pPr>
            <w:r>
              <w:t xml:space="preserve">Adapter validation</w:t>
            </w:r>
          </w:p>
        </w:tc>
        <w:tc>
          <w:tcPr>
            <w:tcW w:w="3033" w:type="dxa"/>
          </w:tcPr>
          <w:p>
            <w:pPr>
              <w:pStyle w:val="TableText"/>
            </w:pPr>
            <w:r>
              <w:t xml:space="preserve">20%</w:t>
            </w:r>
          </w:p>
        </w:tc>
        <w:tc>
          <w:tcPr>
            <w:tcW w:w="3033" w:type="dxa"/>
          </w:tcPr>
          <w:p>
            <w:pPr>
              <w:pStyle w:val="TableText"/>
            </w:pPr>
            <w:r>
              <w:t xml:space="preserve">Tests, reproducibility, certification and maintenance</w:t>
            </w:r>
          </w:p>
        </w:tc>
      </w:tr>
      <w:tr>
        <w:trPr>
          <w:cantSplit/>
        </w:trPr>
        <w:tc>
          <w:tcPr>
            <w:tcW w:w="3033" w:type="dxa"/>
          </w:tcPr>
          <w:p>
            <w:pPr>
              <w:pStyle w:val="TableText"/>
            </w:pPr>
            <w:r>
              <w:t xml:space="preserve">Freshness and historical depth</w:t>
            </w:r>
          </w:p>
        </w:tc>
        <w:tc>
          <w:tcPr>
            <w:tcW w:w="3033" w:type="dxa"/>
          </w:tcPr>
          <w:p>
            <w:pPr>
              <w:pStyle w:val="TableText"/>
            </w:pPr>
            <w:r>
              <w:t xml:space="preserve">15%</w:t>
            </w:r>
          </w:p>
        </w:tc>
        <w:tc>
          <w:tcPr>
            <w:tcW w:w="3033" w:type="dxa"/>
          </w:tcPr>
          <w:p>
            <w:pPr>
              <w:pStyle w:val="TableText"/>
            </w:pPr>
            <w:r>
              <w:t xml:space="preserve">Timeliness and sufficient history</w:t>
            </w:r>
          </w:p>
        </w:tc>
      </w:tr>
      <w:tr>
        <w:trPr>
          <w:cantSplit/>
        </w:trPr>
        <w:tc>
          <w:tcPr>
            <w:tcW w:w="3033" w:type="dxa"/>
          </w:tcPr>
          <w:p>
            <w:pPr>
              <w:pStyle w:val="TableText"/>
            </w:pPr>
            <w:r>
              <w:t xml:space="preserve">Cross-source consistency</w:t>
            </w:r>
          </w:p>
        </w:tc>
        <w:tc>
          <w:tcPr>
            <w:tcW w:w="3033" w:type="dxa"/>
          </w:tcPr>
          <w:p>
            <w:pPr>
              <w:pStyle w:val="TableText"/>
            </w:pPr>
            <w:r>
              <w:t xml:space="preserve">10%</w:t>
            </w:r>
          </w:p>
        </w:tc>
        <w:tc>
          <w:tcPr>
            <w:tcW w:w="3033" w:type="dxa"/>
          </w:tcPr>
          <w:p>
            <w:pPr>
              <w:pStyle w:val="TableText"/>
            </w:pPr>
            <w:r>
              <w:t xml:space="preserve">Reconciliation and variance</w:t>
            </w:r>
          </w:p>
        </w:tc>
      </w:tr>
      <w:tr>
        <w:trPr>
          <w:cantSplit/>
        </w:trPr>
        <w:tc>
          <w:tcPr>
            <w:tcW w:w="3033" w:type="dxa"/>
          </w:tcPr>
          <w:p>
            <w:pPr>
              <w:pStyle w:val="TableText"/>
            </w:pPr>
            <w:r>
              <w:t xml:space="preserve">Model stability and dispute status</w:t>
            </w:r>
          </w:p>
        </w:tc>
        <w:tc>
          <w:tcPr>
            <w:tcW w:w="3033" w:type="dxa"/>
          </w:tcPr>
          <w:p>
            <w:pPr>
              <w:pStyle w:val="TableText"/>
            </w:pPr>
            <w:r>
              <w:t xml:space="preserve">10%</w:t>
            </w:r>
          </w:p>
        </w:tc>
        <w:tc>
          <w:tcPr>
            <w:tcW w:w="3033" w:type="dxa"/>
          </w:tcPr>
          <w:p>
            <w:pPr>
              <w:pStyle w:val="TableText"/>
            </w:pPr>
            <w:r>
              <w:t xml:space="preserve">Sensitivity, unresolved flags and revision risk</w:t>
            </w:r>
          </w:p>
        </w:tc>
      </w:tr>
    </w:tbl>
    <w:p>
      <w:pPr>
        <w:jc w:val="center"/>
      </w:pPr>
      <w:r>
        <w:drawing>
          <wp:inline distT="0" distB="0" distL="0" distR="0">
            <wp:extent cx="5638800" cy="246644"/>
            <wp:docPr id="36" name="Figure 36" descr="Specification figure or equation in 21. VOX Confidence Score (VCS); original available in the DOCX"/>
            <a:graphic>
              <a:graphicData uri="http://schemas.openxmlformats.org/drawingml/2006/picture">
                <pic:pic>
                  <pic:nvPicPr>
                    <pic:cNvPr id="0" name="image36.png"/>
                    <pic:cNvPicPr/>
                  </pic:nvPicPr>
                  <pic:blipFill>
                    <a:blip r:embed="rId38"/>
                    <a:stretch>
                      <a:fillRect/>
                    </a:stretch>
                  </pic:blipFill>
                  <pic:spPr>
                    <a:xfrm>
                      <a:off x="0" y="0"/>
                      <a:ext cx="5638800" cy="246644"/>
                    </a:xfrm>
                    <a:prstGeom prst="rect">
                      <a:avLst/>
                    </a:prstGeom>
                  </pic:spPr>
                </pic:pic>
              </a:graphicData>
            </a:graphic>
          </wp:inline>
        </w:drawing>
      </w:r>
    </w:p>
    <w:p>
      <w:pPr>
        <w:pStyle w:val="Heading2"/>
      </w:pPr>
      <w:r>
        <w:t xml:space="preserve">21.3 Data coverage</w:t>
      </w:r>
    </w:p>
    <w:p>
      <w:pPr>
        <w:pStyle w:val="Normal"/>
      </w:pPr>
      <w:r>
        <w:t xml:space="preserve">Coverage is calculated from approved metric weights, not the count of populated fields. Missing a 20% sub-index matters more than missing a low-weight diagnostic field.</w:t>
      </w:r>
    </w:p>
    <w:p>
      <w:pPr>
        <w:pStyle w:val="Heading2"/>
      </w:pPr>
      <w:r>
        <w:t xml:space="preserve">21.4 Source quality and independence</w:t>
      </w:r>
    </w:p>
    <w:p>
      <w:pPr>
        <w:pStyle w:val="Normal"/>
      </w:pPr>
      <w:r>
        <w:t xml:space="preserve">Source quality ranks evidence by verifiability, public accessibility, reproducibility, independence and revision transparency. A direct, reproducible chain query scores more highly than an opaque proprietary estimate.</w:t>
      </w:r>
    </w:p>
    <w:p>
      <w:pPr>
        <w:pStyle w:val="Heading2"/>
      </w:pPr>
      <w:r>
        <w:t xml:space="preserve">21.5 Adapter validation</w:t>
      </w:r>
    </w:p>
    <w:p>
      <w:pPr>
        <w:pStyle w:val="Normal"/>
      </w:pPr>
      <w:r>
        <w:t xml:space="preserve">Adapter confidence includes unit tests, fixture tests, historical regression, peer review, reproducible builds, maintainer activity and monitoring. A certified adapter can lose confidence if dependencies become stale or tests fail.</w:t>
      </w:r>
    </w:p>
    <w:p>
      <w:pPr>
        <w:pStyle w:val="Heading2"/>
      </w:pPr>
      <w:r>
        <w:t xml:space="preserve">21.6 Freshness and historical depth</w:t>
      </w:r>
    </w:p>
    <w:p>
      <w:pPr>
        <w:pStyle w:val="Normal"/>
      </w:pPr>
      <w:r>
        <w:t xml:space="preserve">Freshness is measured against the metric registry’s service-level objective. Historical depth matters because persistence and resilience cannot be inferred from a brief period.</w:t>
      </w:r>
    </w:p>
    <w:p>
      <w:pPr>
        <w:pStyle w:val="Heading2"/>
      </w:pPr>
      <w:r>
        <w:t xml:space="preserve">21.7 Cross-source consistency</w:t>
      </w:r>
    </w:p>
    <w:p>
      <w:pPr>
        <w:pStyle w:val="Normal"/>
      </w:pPr>
      <w:r>
        <w:t xml:space="preserve">Where multiple sources are expected to agree, the framework measures divergence. Large unexplained variance lowers confidence and may trigger a dispute.</w:t>
      </w:r>
    </w:p>
    <w:p>
      <w:pPr>
        <w:pStyle w:val="Heading2"/>
      </w:pPr>
      <w:r>
        <w:t xml:space="preserve">21.8 Model stability and dispute status</w:t>
      </w:r>
    </w:p>
    <w:p>
      <w:pPr>
        <w:pStyle w:val="Normal"/>
      </w:pPr>
      <w:r>
        <w:t xml:space="preserve">Sensitivity analysis tests how much the result changes under reasonable benchmark and classification variations. Unresolved disputes, recent methodology changes and high sensitivity reduce confidence.</w:t>
      </w:r>
    </w:p>
    <w:p>
      <w:pPr>
        <w:pStyle w:val="Heading2"/>
      </w:pPr>
      <w:r>
        <w:t xml:space="preserve">21.9 Confidence is not performance</w:t>
      </w:r>
    </w:p>
    <w:p>
      <w:pPr>
        <w:pStyle w:val="Normal"/>
      </w:pPr>
      <w:r>
        <w:t xml:space="preserve">A low-performing network can have very high VCS if its weak performance is measured accurately. A high-performing network can have low VCS if evidence is incomplete. VCS must never be folded into VTS as a performance reward or penalty; it governs how strongly the score can be relied upon and published.</w:t>
      </w:r>
    </w:p>
    <w:p>
      <w:pPr>
        <w:pStyle w:val="Normal"/>
      </w:pPr>
      <w:r>
        <w:t xml:space="preserve">Part V — VOX Units and V-FOREX</w:t>
      </w:r>
    </w:p>
    <w:p>
      <w:pPr>
        <w:pStyle w:val="Heading1"/>
        <w:pageBreakBefore/>
      </w:pPr>
      <w:r>
        <w:t xml:space="preserve">22. VOX as an Analytical Unit</w:t>
      </w:r>
    </w:p>
    <w:p>
      <w:pPr>
        <w:pStyle w:val="Heading2"/>
      </w:pPr>
      <w:r>
        <w:t xml:space="preserve">22.1 Measurement-first design</w:t>
      </w:r>
    </w:p>
    <w:p>
      <w:pPr>
        <w:pStyle w:val="Normal"/>
      </w:pPr>
      <w:r>
        <w:t xml:space="preserve">The first form of VOX is an analytical denomination, not a transferable token. A network’s analytical VOX unit expresses its VTS relative to the ERU and other networks. This enables research, comparison and accounting without creating monetary liabilities or market risk.</w:t>
      </w:r>
    </w:p>
    <w:p>
      <w:pPr>
        <w:pStyle w:val="Normal"/>
      </w:pPr>
      <w:r>
        <w:t xml:space="preserve">For network i:</w:t>
      </w:r>
    </w:p>
    <w:p>
      <w:pPr>
        <w:jc w:val="center"/>
      </w:pPr>
      <w:r>
        <w:drawing>
          <wp:inline distT="0" distB="0" distL="0" distR="0">
            <wp:extent cx="5638800" cy="482719"/>
            <wp:docPr id="37" name="Figure 37" descr="Specification figure or equation in 22. VOX as an Analytical Unit; original available in the DOCX"/>
            <a:graphic>
              <a:graphicData uri="http://schemas.openxmlformats.org/drawingml/2006/picture">
                <pic:pic>
                  <pic:nvPicPr>
                    <pic:cNvPr id="0" name="image37.png"/>
                    <pic:cNvPicPr/>
                  </pic:nvPicPr>
                  <pic:blipFill>
                    <a:blip r:embed="rId39"/>
                    <a:stretch>
                      <a:fillRect/>
                    </a:stretch>
                  </pic:blipFill>
                  <pic:spPr>
                    <a:xfrm>
                      <a:off x="0" y="0"/>
                      <a:ext cx="5638800" cy="482719"/>
                    </a:xfrm>
                    <a:prstGeom prst="rect">
                      <a:avLst/>
                    </a:prstGeom>
                  </pic:spPr>
                </pic:pic>
              </a:graphicData>
            </a:graphic>
          </wp:inline>
        </w:drawing>
      </w:r>
    </w:p>
    <w:p>
      <w:pPr>
        <w:pStyle w:val="Normal"/>
      </w:pPr>
      <w:r>
        <w:t xml:space="preserve">This statement does not claim a fiat price. It means that the network’s measured economic performance equals VTS_i times the current reference unit.</w:t>
      </w:r>
    </w:p>
    <w:p>
      <w:pPr>
        <w:pStyle w:val="Heading2"/>
      </w:pPr>
      <w:r>
        <w:t xml:space="preserve">22.2 Network naming</w:t>
      </w:r>
    </w:p>
    <w:p>
      <w:pPr>
        <w:pStyle w:val="Normal"/>
      </w:pPr>
      <w:r>
        <w:t xml:space="preserve">Network-specific analytical units may use transparent symbols such as VOX-ETH, VOX-BTC or VOX-SOL. Symbols are identifiers, not claims of endorsement by the underlying network.</w:t>
      </w:r>
    </w:p>
    <w:p>
      <w:pPr>
        <w:pStyle w:val="Heading2"/>
      </w:pPr>
      <w:r>
        <w:t xml:space="preserve">22.3 Uses before tokenisation</w:t>
      </w:r>
    </w:p>
    <w:p>
      <w:pPr>
        <w:pStyle w:val="Normal"/>
      </w:pPr>
      <w:r>
        <w:t xml:space="preserve">Analytical VOX can support:</w:t>
      </w:r>
    </w:p>
    <w:p>
      <w:pPr>
        <w:pStyle w:val="ListParagraph"/>
      </w:pPr>
      <w:r>
        <w:t xml:space="preserve">• comparative network accounting;</w:t>
      </w:r>
    </w:p>
    <w:p>
      <w:pPr>
        <w:pStyle w:val="ListParagraph"/>
      </w:pPr>
      <w:r>
        <w:t xml:space="preserve">• research dashboards and reports;</w:t>
      </w:r>
    </w:p>
    <w:p>
      <w:pPr>
        <w:pStyle w:val="ListParagraph"/>
      </w:pPr>
      <w:r>
        <w:t xml:space="preserve">• benchmark portfolios;</w:t>
      </w:r>
    </w:p>
    <w:p>
      <w:pPr>
        <w:pStyle w:val="ListParagraph"/>
      </w:pPr>
      <w:r>
        <w:t xml:space="preserve">• cross-chain economic indices;</w:t>
      </w:r>
    </w:p>
    <w:p>
      <w:pPr>
        <w:pStyle w:val="ListParagraph"/>
      </w:pPr>
      <w:r>
        <w:t xml:space="preserve">• collateral and risk research;</w:t>
      </w:r>
    </w:p>
    <w:p>
      <w:pPr>
        <w:pStyle w:val="ListParagraph"/>
      </w:pPr>
      <w:r>
        <w:t xml:space="preserve">• governance impact simulation;</w:t>
      </w:r>
    </w:p>
    <w:p>
      <w:pPr>
        <w:pStyle w:val="ListParagraph"/>
      </w:pPr>
      <w:r>
        <w:t xml:space="preserve">• historical economic-performance charts;</w:t>
      </w:r>
    </w:p>
    <w:p>
      <w:pPr>
        <w:pStyle w:val="ListParagraph"/>
      </w:pPr>
      <w:r>
        <w:t xml:space="preserve">• V-FOREX reference calculations.</w:t>
      </w:r>
    </w:p>
    <w:p>
      <w:pPr>
        <w:pStyle w:val="Heading2"/>
      </w:pPr>
      <w:r>
        <w:t xml:space="preserve">22.4 No ownership claim</w:t>
      </w:r>
    </w:p>
    <w:p>
      <w:pPr>
        <w:pStyle w:val="Normal"/>
      </w:pPr>
      <w:r>
        <w:t xml:space="preserve">An analytical VOX unit does not represent ownership of a network, a claim on fees, a debt obligation or a redemption right. Any later transferable implementation must define its own legal and economic rights explicitly.</w:t>
      </w:r>
    </w:p>
    <w:p>
      <w:pPr>
        <w:pStyle w:val="Heading1"/>
        <w:pageBreakBefore/>
      </w:pPr>
      <w:r>
        <w:t xml:space="preserve">23. Optional Tokenised VOX</w:t>
      </w:r>
    </w:p>
    <w:p>
      <w:pPr>
        <w:pStyle w:val="Heading2"/>
      </w:pPr>
      <w:r>
        <w:t xml:space="preserve">23.1 Activation principle</w:t>
      </w:r>
    </w:p>
    <w:p>
      <w:pPr>
        <w:pStyle w:val="Normal"/>
      </w:pPr>
      <w:r>
        <w:t xml:space="preserve">Tokenised VOX is optional. It may be activated only when the network measurement is mature enough to support a high-stakes economic implementation.</w:t>
      </w:r>
    </w:p>
    <w:p>
      <w:pPr>
        <w:pStyle w:val="Normal"/>
      </w:pPr>
      <w:r>
        <w:t xml:space="preserve">Minimum activation conditions include:</w:t>
      </w:r>
    </w:p>
    <w:p>
      <w:pPr>
        <w:pStyle w:val="ListParagraph"/>
      </w:pPr>
      <w:r>
        <w:t xml:space="preserve">• VCS of at least 85 for a sustained governance-defined period;</w:t>
      </w:r>
    </w:p>
    <w:p>
      <w:pPr>
        <w:pStyle w:val="ListParagraph"/>
      </w:pPr>
      <w:r>
        <w:t xml:space="preserve">• certified adapters for all six indices;</w:t>
      </w:r>
    </w:p>
    <w:p>
      <w:pPr>
        <w:pStyle w:val="ListParagraph"/>
      </w:pPr>
      <w:r>
        <w:t xml:space="preserve">• independent security and economic audits;</w:t>
      </w:r>
    </w:p>
    <w:p>
      <w:pPr>
        <w:pStyle w:val="ListParagraph"/>
      </w:pPr>
      <w:r>
        <w:t xml:space="preserve">• public issuance, contraction and settlement specifications;</w:t>
      </w:r>
    </w:p>
    <w:p>
      <w:pPr>
        <w:pStyle w:val="ListParagraph"/>
      </w:pPr>
      <w:r>
        <w:t xml:space="preserve">• legal analysis in relevant jurisdictions;</w:t>
      </w:r>
    </w:p>
    <w:p>
      <w:pPr>
        <w:pStyle w:val="ListParagraph"/>
      </w:pPr>
      <w:r>
        <w:t xml:space="preserve">• market-liquidity and manipulation tests;</w:t>
      </w:r>
    </w:p>
    <w:p>
      <w:pPr>
        <w:pStyle w:val="ListParagraph"/>
      </w:pPr>
      <w:r>
        <w:t xml:space="preserve">• emergency and recovery procedures;</w:t>
      </w:r>
    </w:p>
    <w:p>
      <w:pPr>
        <w:pStyle w:val="ListParagraph"/>
      </w:pPr>
      <w:r>
        <w:t xml:space="preserve">• DAO supermajority approval after public simulation.</w:t>
      </w:r>
    </w:p>
    <w:p>
      <w:pPr>
        <w:pStyle w:val="Heading2"/>
      </w:pPr>
      <w:r>
        <w:t xml:space="preserve">23.2 Universal parameters</w:t>
      </w:r>
    </w:p>
    <w:p>
      <w:pPr>
        <w:pStyle w:val="Normal"/>
      </w:pPr>
      <w:r>
        <w:t xml:space="preserve">Edition 3.1 rejects arbitrary chain-specific maximum capacities. A common reference capacity C_ref and curvature parameter κ apply universally within an implementation version.</w:t>
      </w:r>
    </w:p>
    <w:p>
      <w:pPr>
        <w:pStyle w:val="Normal"/>
      </w:pPr>
      <w:r>
        <w:t xml:space="preserve">The target indexed supply is:</w:t>
      </w:r>
    </w:p>
    <w:p>
      <w:pPr>
        <w:jc w:val="center"/>
      </w:pPr>
      <w:r>
        <w:drawing>
          <wp:inline distT="0" distB="0" distL="0" distR="0">
            <wp:extent cx="5638800" cy="514079"/>
            <wp:docPr id="38" name="Figure 38" descr="Specification figure or equation in 23. Optional Tokenised VOX; original available in the DOCX"/>
            <a:graphic>
              <a:graphicData uri="http://schemas.openxmlformats.org/drawingml/2006/picture">
                <pic:pic>
                  <pic:nvPicPr>
                    <pic:cNvPr id="0" name="image38.png"/>
                    <pic:cNvPicPr/>
                  </pic:nvPicPr>
                  <pic:blipFill>
                    <a:blip r:embed="rId40"/>
                    <a:stretch>
                      <a:fillRect/>
                    </a:stretch>
                  </pic:blipFill>
                  <pic:spPr>
                    <a:xfrm>
                      <a:off x="0" y="0"/>
                      <a:ext cx="5638800" cy="514079"/>
                    </a:xfrm>
                    <a:prstGeom prst="rect">
                      <a:avLst/>
                    </a:prstGeom>
                  </pic:spPr>
                </pic:pic>
              </a:graphicData>
            </a:graphic>
          </wp:inline>
        </w:drawing>
      </w:r>
    </w:p>
    <w:p>
      <w:pPr>
        <w:pStyle w:val="Normal"/>
      </w:pPr>
      <w:r>
        <w:t xml:space="preserve">where:</w:t>
      </w:r>
    </w:p>
    <w:p>
      <w:pPr>
        <w:pStyle w:val="ListParagraph"/>
      </w:pPr>
      <w:r>
        <w:t xml:space="preserve">• C_ref is the universal reference quantity;</w:t>
      </w:r>
    </w:p>
    <w:p>
      <w:pPr>
        <w:pStyle w:val="ListParagraph"/>
      </w:pPr>
      <w:r>
        <w:t xml:space="preserve">• VTS_t is the standardised score;</w:t>
      </w:r>
    </w:p>
    <w:p>
      <w:pPr>
        <w:pStyle w:val="ListParagraph"/>
      </w:pPr>
      <w:r>
        <w:t xml:space="preserve">• κ controls non-linearity;</w:t>
      </w:r>
    </w:p>
    <w:p>
      <w:pPr>
        <w:pStyle w:val="ListParagraph"/>
      </w:pPr>
      <w:r>
        <w:t xml:space="preserve">• g_min and g_max define constitutional bounds.</w:t>
      </w:r>
    </w:p>
    <w:p>
      <w:pPr>
        <w:pStyle w:val="Normal"/>
      </w:pPr>
      <w:r>
        <w:t xml:space="preserve">These parameters affect quantity accounting, not guaranteed market price.</w:t>
      </w:r>
    </w:p>
    <w:p>
      <w:pPr>
        <w:pStyle w:val="Heading2"/>
      </w:pPr>
      <w:r>
        <w:t xml:space="preserve">23.3 Controlled adjustment</w:t>
      </w:r>
    </w:p>
    <w:p>
      <w:pPr>
        <w:pStyle w:val="Normal"/>
      </w:pPr>
      <w:r>
        <w:t xml:space="preserve">The target cannot be reached through unlimited instantaneous minting or burning. The allowed adjustment rate is bounded:</w:t>
      </w:r>
    </w:p>
    <w:p>
      <w:pPr>
        <w:jc w:val="center"/>
      </w:pPr>
      <w:r>
        <w:drawing>
          <wp:inline distT="0" distB="0" distL="0" distR="0">
            <wp:extent cx="5638800" cy="812369"/>
            <wp:docPr id="39" name="Figure 39" descr="Specification figure or equation in 23. Optional Tokenised VOX; original available in the DOCX"/>
            <a:graphic>
              <a:graphicData uri="http://schemas.openxmlformats.org/drawingml/2006/picture">
                <pic:pic>
                  <pic:nvPicPr>
                    <pic:cNvPr id="0" name="image39.png"/>
                    <pic:cNvPicPr/>
                  </pic:nvPicPr>
                  <pic:blipFill>
                    <a:blip r:embed="rId41"/>
                    <a:stretch>
                      <a:fillRect/>
                    </a:stretch>
                  </pic:blipFill>
                  <pic:spPr>
                    <a:xfrm>
                      <a:off x="0" y="0"/>
                      <a:ext cx="5638800" cy="812369"/>
                    </a:xfrm>
                    <a:prstGeom prst="rect">
                      <a:avLst/>
                    </a:prstGeom>
                  </pic:spPr>
                </pic:pic>
              </a:graphicData>
            </a:graphic>
          </wp:inline>
        </w:drawing>
      </w:r>
    </w:p>
    <w:p>
      <w:pPr>
        <w:jc w:val="center"/>
      </w:pPr>
      <w:r>
        <w:drawing>
          <wp:inline distT="0" distB="0" distL="0" distR="0">
            <wp:extent cx="5638800" cy="733704"/>
            <wp:docPr id="40" name="Figure 40" descr="Specification figure or equation in 23. Optional Tokenised VOX; original available in the DOCX"/>
            <a:graphic>
              <a:graphicData uri="http://schemas.openxmlformats.org/drawingml/2006/picture">
                <pic:pic>
                  <pic:nvPicPr>
                    <pic:cNvPr id="0" name="image40.png"/>
                    <pic:cNvPicPr/>
                  </pic:nvPicPr>
                  <pic:blipFill>
                    <a:blip r:embed="rId42"/>
                    <a:stretch>
                      <a:fillRect/>
                    </a:stretch>
                  </pic:blipFill>
                  <pic:spPr>
                    <a:xfrm>
                      <a:off x="0" y="0"/>
                      <a:ext cx="5638800" cy="733704"/>
                    </a:xfrm>
                    <a:prstGeom prst="rect">
                      <a:avLst/>
                    </a:prstGeom>
                  </pic:spPr>
                </pic:pic>
              </a:graphicData>
            </a:graphic>
          </wp:inline>
        </w:drawing>
      </w:r>
    </w:p>
    <w:p>
      <w:pPr>
        <w:pStyle w:val="Normal"/>
      </w:pPr>
      <w:r>
        <w:t xml:space="preserve">where r_max limits expansion and contraction per adjustment period.</w:t>
      </w:r>
    </w:p>
    <w:p>
      <w:pPr>
        <w:pStyle w:val="Heading2"/>
      </w:pPr>
      <w:r>
        <w:t xml:space="preserve">23.4 Explicit contraction</w:t>
      </w:r>
    </w:p>
    <w:p>
      <w:pPr>
        <w:pStyle w:val="Normal"/>
      </w:pPr>
      <w:r>
        <w:t xml:space="preserve">The earlier framework described a compressing ceiling without defining how supply would contract. Edition 3.1 resolves this by requiring a share-preserving indexed-balance mechanism, unless a future implementation proves a superior mechanism.</w:t>
      </w:r>
    </w:p>
    <w:p>
      <w:pPr>
        <w:pStyle w:val="Normal"/>
      </w:pPr>
      <w:r>
        <w:t xml:space="preserve">Under indexed balances, each holder owns a constant number of shares q_h. The visible balance is:</w:t>
      </w:r>
    </w:p>
    <w:p>
      <w:pPr>
        <w:jc w:val="center"/>
      </w:pPr>
      <w:r>
        <w:drawing>
          <wp:inline distT="0" distB="0" distL="0" distR="0">
            <wp:extent cx="5638800" cy="1014984"/>
            <wp:docPr id="41" name="Figure 41" descr="Specification figure or equation in 23. Optional Tokenised VOX; original available in the DOCX"/>
            <a:graphic>
              <a:graphicData uri="http://schemas.openxmlformats.org/drawingml/2006/picture">
                <pic:pic>
                  <pic:nvPicPr>
                    <pic:cNvPr id="0" name="image41.png"/>
                    <pic:cNvPicPr/>
                  </pic:nvPicPr>
                  <pic:blipFill>
                    <a:blip r:embed="rId43"/>
                    <a:stretch>
                      <a:fillRect/>
                    </a:stretch>
                  </pic:blipFill>
                  <pic:spPr>
                    <a:xfrm>
                      <a:off x="0" y="0"/>
                      <a:ext cx="5638800" cy="1014984"/>
                    </a:xfrm>
                    <a:prstGeom prst="rect">
                      <a:avLst/>
                    </a:prstGeom>
                  </pic:spPr>
                </pic:pic>
              </a:graphicData>
            </a:graphic>
          </wp:inline>
        </w:drawing>
      </w:r>
    </w:p>
    <w:p>
      <w:pPr>
        <w:pStyle w:val="Normal"/>
      </w:pPr>
      <w:r>
        <w:t xml:space="preserve">where I_t is a global supply index. When target supply falls, I_t declines proportionally for all non-exempt balances. When target supply rises, I_t increases proportionally. No participant is selectively diluted or protected.</w:t>
      </w:r>
    </w:p>
    <w:p>
      <w:pPr>
        <w:pStyle w:val="Normal"/>
      </w:pPr>
      <w:r>
        <w:t xml:space="preserve">Contracts and venues must be designed to support indexed balances safely. Any exempt account, treasury or bridge representation must be disclosed and included in total-supply accounting.</w:t>
      </w:r>
    </w:p>
    <w:p>
      <w:pPr>
        <w:pStyle w:val="Heading2"/>
      </w:pPr>
      <w:r>
        <w:t xml:space="preserve">23.5 Alternative redemption-based design</w:t>
      </w:r>
    </w:p>
    <w:p>
      <w:pPr>
        <w:pStyle w:val="Normal"/>
      </w:pPr>
      <w:r>
        <w:t xml:space="preserve">A future implementation may use explicit mint and redemption rather than indexed balances, but only if it defines:</w:t>
      </w:r>
    </w:p>
    <w:p>
      <w:pPr>
        <w:pStyle w:val="ListParagraph"/>
      </w:pPr>
      <w:r>
        <w:t xml:space="preserve">• what asset or right is redeemed;</w:t>
      </w:r>
    </w:p>
    <w:p>
      <w:pPr>
        <w:pStyle w:val="ListParagraph"/>
      </w:pPr>
      <w:r>
        <w:t xml:space="preserve">• who bears contraction costs;</w:t>
      </w:r>
    </w:p>
    <w:p>
      <w:pPr>
        <w:pStyle w:val="ListParagraph"/>
      </w:pPr>
      <w:r>
        <w:t xml:space="preserve">• solvency and reserve rules;</w:t>
      </w:r>
    </w:p>
    <w:p>
      <w:pPr>
        <w:pStyle w:val="ListParagraph"/>
      </w:pPr>
      <w:r>
        <w:t xml:space="preserve">• redemption priority;</w:t>
      </w:r>
    </w:p>
    <w:p>
      <w:pPr>
        <w:pStyle w:val="ListParagraph"/>
      </w:pPr>
      <w:r>
        <w:t xml:space="preserve">• legal enforceability;</w:t>
      </w:r>
    </w:p>
    <w:p>
      <w:pPr>
        <w:pStyle w:val="ListParagraph"/>
      </w:pPr>
      <w:r>
        <w:t xml:space="preserve">• run and liquidity controls.</w:t>
      </w:r>
    </w:p>
    <w:p>
      <w:pPr>
        <w:pStyle w:val="Normal"/>
      </w:pPr>
      <w:r>
        <w:t xml:space="preserve">Without a credible redemption asset, a redemption claim must not be implied.</w:t>
      </w:r>
    </w:p>
    <w:p>
      <w:pPr>
        <w:pStyle w:val="Heading2"/>
      </w:pPr>
      <w:r>
        <w:t xml:space="preserve">23.6 No automatic price guarantee</w:t>
      </w:r>
    </w:p>
    <w:p>
      <w:pPr>
        <w:pStyle w:val="Normal"/>
      </w:pPr>
      <w:r>
        <w:t xml:space="preserve">A VTS-linked supply rule does not guarantee that market price equals VTS, ERU or any reference rate. Price remains determined by supply, demand, liquidity, rights, expectations and market structure. The implementation must state this clearly.</w:t>
      </w:r>
    </w:p>
    <w:p>
      <w:pPr>
        <w:pStyle w:val="Heading2"/>
      </w:pPr>
      <w:r>
        <w:t xml:space="preserve">23.7 Demand and utility</w:t>
      </w:r>
    </w:p>
    <w:p>
      <w:pPr>
        <w:pStyle w:val="Normal"/>
      </w:pPr>
      <w:r>
        <w:t xml:space="preserve">Tokenised VOX requires genuine demand. Permitted utilities may include:</w:t>
      </w:r>
    </w:p>
    <w:p>
      <w:pPr>
        <w:pStyle w:val="ListParagraph"/>
      </w:pPr>
      <w:r>
        <w:t xml:space="preserve">• settlement of VOX-indexed obligations;</w:t>
      </w:r>
    </w:p>
    <w:p>
      <w:pPr>
        <w:pStyle w:val="ListParagraph"/>
      </w:pPr>
      <w:r>
        <w:t xml:space="preserve">• payment for data, verification or adapter services;</w:t>
      </w:r>
    </w:p>
    <w:p>
      <w:pPr>
        <w:pStyle w:val="ListParagraph"/>
      </w:pPr>
      <w:r>
        <w:t xml:space="preserve">• liquidity and clearing collateral under risk limits;</w:t>
      </w:r>
    </w:p>
    <w:p>
      <w:pPr>
        <w:pStyle w:val="ListParagraph"/>
      </w:pPr>
      <w:r>
        <w:t xml:space="preserve">• governance bonds and dispute stakes;</w:t>
      </w:r>
    </w:p>
    <w:p>
      <w:pPr>
        <w:pStyle w:val="ListParagraph"/>
      </w:pPr>
      <w:r>
        <w:t xml:space="preserve">• oracle security deposits;</w:t>
      </w:r>
    </w:p>
    <w:p>
      <w:pPr>
        <w:pStyle w:val="ListParagraph"/>
      </w:pPr>
      <w:r>
        <w:t xml:space="preserve">• cross-chain accounting and treasury use;</w:t>
      </w:r>
    </w:p>
    <w:p>
      <w:pPr>
        <w:pStyle w:val="ListParagraph"/>
      </w:pPr>
      <w:r>
        <w:t xml:space="preserve">• access to defined protocol services.</w:t>
      </w:r>
    </w:p>
    <w:p>
      <w:pPr>
        <w:pStyle w:val="Normal"/>
      </w:pPr>
      <w:r>
        <w:t xml:space="preserve">Demand cannot be based solely on expectations of appreciation or emissions paid to attract new buyers.</w:t>
      </w:r>
    </w:p>
    <w:p>
      <w:pPr>
        <w:pStyle w:val="Heading2"/>
      </w:pPr>
      <w:r>
        <w:t xml:space="preserve">23.8 Treasury and issuance distribution</w:t>
      </w:r>
    </w:p>
    <w:p>
      <w:pPr>
        <w:pStyle w:val="Normal"/>
      </w:pPr>
      <w:r>
        <w:t xml:space="preserve">A tokenised implementation must publish:</w:t>
      </w:r>
    </w:p>
    <w:p>
      <w:pPr>
        <w:pStyle w:val="ListParagraph"/>
      </w:pPr>
      <w:r>
        <w:t xml:space="preserve">• genesis allocation;</w:t>
      </w:r>
    </w:p>
    <w:p>
      <w:pPr>
        <w:pStyle w:val="ListParagraph"/>
      </w:pPr>
      <w:r>
        <w:t xml:space="preserve">• treasury and contributor allocations;</w:t>
      </w:r>
    </w:p>
    <w:p>
      <w:pPr>
        <w:pStyle w:val="ListParagraph"/>
      </w:pPr>
      <w:r>
        <w:t xml:space="preserve">• vesting and transfer restrictions;</w:t>
      </w:r>
    </w:p>
    <w:p>
      <w:pPr>
        <w:pStyle w:val="ListParagraph"/>
      </w:pPr>
      <w:r>
        <w:t xml:space="preserve">• liquidity provisioning;</w:t>
      </w:r>
    </w:p>
    <w:p>
      <w:pPr>
        <w:pStyle w:val="ListParagraph"/>
      </w:pPr>
      <w:r>
        <w:t xml:space="preserve">• governance control;</w:t>
      </w:r>
    </w:p>
    <w:p>
      <w:pPr>
        <w:pStyle w:val="ListParagraph"/>
      </w:pPr>
      <w:r>
        <w:t xml:space="preserve">• fee and revenue flows;</w:t>
      </w:r>
    </w:p>
    <w:p>
      <w:pPr>
        <w:pStyle w:val="ListParagraph"/>
      </w:pPr>
      <w:r>
        <w:t xml:space="preserve">• treatment of contraction across locked, bridged and staked balances.</w:t>
      </w:r>
    </w:p>
    <w:p>
      <w:pPr>
        <w:pStyle w:val="Normal"/>
      </w:pPr>
      <w:r>
        <w:t xml:space="preserve">No allocation may be hidden from circulating and fully diluted supply analysis.</w:t>
      </w:r>
    </w:p>
    <w:p>
      <w:pPr>
        <w:pStyle w:val="Heading2"/>
      </w:pPr>
      <w:r>
        <w:t xml:space="preserve">23.9 Activation reversibility</w:t>
      </w:r>
    </w:p>
    <w:p>
      <w:pPr>
        <w:pStyle w:val="Normal"/>
      </w:pPr>
      <w:r>
        <w:t xml:space="preserve">If confidence, security or market integrity falls below minimum thresholds, new issuance may pause. A pause does not erase existing rights or permit arbitrary confiscation. The DAO must follow pre-defined safe-mode rules.</w:t>
      </w:r>
    </w:p>
    <w:p>
      <w:pPr>
        <w:pStyle w:val="Heading1"/>
        <w:pageBreakBefore/>
      </w:pPr>
      <w:r>
        <w:t xml:space="preserve">24. VOX Digital Forex Market (V-FOREX)</w:t>
      </w:r>
    </w:p>
    <w:p>
      <w:pPr>
        <w:pStyle w:val="Heading2"/>
      </w:pPr>
      <w:r>
        <w:t xml:space="preserve">24.1 Purpose</w:t>
      </w:r>
    </w:p>
    <w:p>
      <w:pPr>
        <w:pStyle w:val="Normal"/>
      </w:pPr>
      <w:r>
        <w:t xml:space="preserve">V-FOREX provides cross-network economic comparison. Its primary output is a deterministic reference ratio derived from standardised VTS:</w:t>
      </w:r>
    </w:p>
    <w:p>
      <w:pPr>
        <w:jc w:val="center"/>
      </w:pPr>
      <w:r>
        <w:drawing>
          <wp:inline distT="0" distB="0" distL="0" distR="0">
            <wp:extent cx="5638800" cy="1916636"/>
            <wp:docPr id="42" name="Figure 42" descr="Specification figure or equation in 24. VOX Digital Forex Market (V-FOREX); original available in the DOCX"/>
            <a:graphic>
              <a:graphicData uri="http://schemas.openxmlformats.org/drawingml/2006/picture">
                <pic:pic>
                  <pic:nvPicPr>
                    <pic:cNvPr id="0" name="image42.png"/>
                    <pic:cNvPicPr/>
                  </pic:nvPicPr>
                  <pic:blipFill>
                    <a:blip r:embed="rId44"/>
                    <a:stretch>
                      <a:fillRect/>
                    </a:stretch>
                  </pic:blipFill>
                  <pic:spPr>
                    <a:xfrm>
                      <a:off x="0" y="0"/>
                      <a:ext cx="5638800" cy="1916636"/>
                    </a:xfrm>
                    <a:prstGeom prst="rect">
                      <a:avLst/>
                    </a:prstGeom>
                  </pic:spPr>
                </pic:pic>
              </a:graphicData>
            </a:graphic>
          </wp:inline>
        </w:drawing>
      </w:r>
    </w:p>
    <w:p>
      <w:pPr>
        <w:pStyle w:val="Normal"/>
      </w:pPr>
      <w:r>
        <w:t xml:space="preserve">If VTS_A = 1.20 and VTS_B = 0.80, the reference ratio is:</w:t>
      </w:r>
    </w:p>
    <w:p>
      <w:pPr>
        <w:jc w:val="center"/>
      </w:pPr>
      <w:r>
        <w:drawing>
          <wp:inline distT="0" distB="0" distL="0" distR="0">
            <wp:extent cx="5638800" cy="1582588"/>
            <wp:docPr id="43" name="Figure 43" descr="Specification figure or equation in 24. VOX Digital Forex Market (V-FOREX); original available in the DOCX"/>
            <a:graphic>
              <a:graphicData uri="http://schemas.openxmlformats.org/drawingml/2006/picture">
                <pic:pic>
                  <pic:nvPicPr>
                    <pic:cNvPr id="0" name="image43.png"/>
                    <pic:cNvPicPr/>
                  </pic:nvPicPr>
                  <pic:blipFill>
                    <a:blip r:embed="rId45"/>
                    <a:stretch>
                      <a:fillRect/>
                    </a:stretch>
                  </pic:blipFill>
                  <pic:spPr>
                    <a:xfrm>
                      <a:off x="0" y="0"/>
                      <a:ext cx="5638800" cy="1582588"/>
                    </a:xfrm>
                    <a:prstGeom prst="rect">
                      <a:avLst/>
                    </a:prstGeom>
                  </pic:spPr>
                </pic:pic>
              </a:graphicData>
            </a:graphic>
          </wp:inline>
        </w:drawing>
      </w:r>
    </w:p>
    <w:p>
      <w:pPr>
        <w:pStyle w:val="Normal"/>
      </w:pPr>
      <w:r>
        <w:t xml:space="preserve">This means network A has 1.5 times the measured economic performance of network B under the current methodology. It does not automatically mean one transferable VOX-A token must trade for exactly 1.5 VOX-B tokens.</w:t>
      </w:r>
    </w:p>
    <w:p>
      <w:pPr>
        <w:pStyle w:val="Heading2"/>
      </w:pPr>
      <w:r>
        <w:t xml:space="preserve">24.2 Reference rate and market rate</w:t>
      </w:r>
    </w:p>
    <w:p>
      <w:pPr>
        <w:pStyle w:val="Normal"/>
      </w:pPr>
      <w:r>
        <w:t xml:space="preserve">V-FOREX distinguishes:</w:t>
      </w:r>
    </w:p>
    <w:p>
      <w:pPr>
        <w:pStyle w:val="ListParagraph"/>
      </w:pPr>
      <w:r>
        <w:t xml:space="preserve">• reference rate — calculated from VTS;</w:t>
      </w:r>
    </w:p>
    <w:p>
      <w:pPr>
        <w:pStyle w:val="ListParagraph"/>
      </w:pPr>
      <w:r>
        <w:t xml:space="preserve">• market rate — executable price in a real market;</w:t>
      </w:r>
    </w:p>
    <w:p>
      <w:pPr>
        <w:pStyle w:val="ListParagraph"/>
      </w:pPr>
      <w:r>
        <w:t xml:space="preserve">• premium or discount — divergence between the two.</w:t>
      </w:r>
    </w:p>
    <w:p>
      <w:pPr>
        <w:jc w:val="center"/>
      </w:pPr>
      <w:r>
        <w:drawing>
          <wp:inline distT="0" distB="0" distL="0" distR="0">
            <wp:extent cx="5638800" cy="742349"/>
            <wp:docPr id="44" name="Figure 44" descr="Specification figure or equation in 24. VOX Digital Forex Market (V-FOREX); original available in the DOCX"/>
            <a:graphic>
              <a:graphicData uri="http://schemas.openxmlformats.org/drawingml/2006/picture">
                <pic:pic>
                  <pic:nvPicPr>
                    <pic:cNvPr id="0" name="image44.png"/>
                    <pic:cNvPicPr/>
                  </pic:nvPicPr>
                  <pic:blipFill>
                    <a:blip r:embed="rId46"/>
                    <a:stretch>
                      <a:fillRect/>
                    </a:stretch>
                  </pic:blipFill>
                  <pic:spPr>
                    <a:xfrm>
                      <a:off x="0" y="0"/>
                      <a:ext cx="5638800" cy="742349"/>
                    </a:xfrm>
                    <a:prstGeom prst="rect">
                      <a:avLst/>
                    </a:prstGeom>
                  </pic:spPr>
                </pic:pic>
              </a:graphicData>
            </a:graphic>
          </wp:inline>
        </w:drawing>
      </w:r>
    </w:p>
    <w:p>
      <w:pPr>
        <w:pStyle w:val="Normal"/>
      </w:pPr>
      <w:r>
        <w:t xml:space="preserve">A positive value indicates that VOX-A trades above the VTS reference relative to VOX-B. A negative value indicates a discount.</w:t>
      </w:r>
    </w:p>
    <w:p>
      <w:pPr>
        <w:pStyle w:val="Heading2"/>
      </w:pPr>
      <w:r>
        <w:t xml:space="preserve">24.3 Why divergence can persist</w:t>
      </w:r>
    </w:p>
    <w:p>
      <w:pPr>
        <w:pStyle w:val="Normal"/>
      </w:pPr>
      <w:r>
        <w:t xml:space="preserve">Divergence is not automatically an arbitrage. It may persist because of:</w:t>
      </w:r>
    </w:p>
    <w:p>
      <w:pPr>
        <w:pStyle w:val="ListParagraph"/>
      </w:pPr>
      <w:r>
        <w:t xml:space="preserve">• different token rights or utility;</w:t>
      </w:r>
    </w:p>
    <w:p>
      <w:pPr>
        <w:pStyle w:val="ListParagraph"/>
      </w:pPr>
      <w:r>
        <w:t xml:space="preserve">• supply and free-float differences;</w:t>
      </w:r>
    </w:p>
    <w:p>
      <w:pPr>
        <w:pStyle w:val="ListParagraph"/>
      </w:pPr>
      <w:r>
        <w:t xml:space="preserve">• bridge and settlement risk;</w:t>
      </w:r>
    </w:p>
    <w:p>
      <w:pPr>
        <w:pStyle w:val="ListParagraph"/>
      </w:pPr>
      <w:r>
        <w:t xml:space="preserve">• transaction costs;</w:t>
      </w:r>
    </w:p>
    <w:p>
      <w:pPr>
        <w:pStyle w:val="ListParagraph"/>
      </w:pPr>
      <w:r>
        <w:t xml:space="preserve">• market access and regulation;</w:t>
      </w:r>
    </w:p>
    <w:p>
      <w:pPr>
        <w:pStyle w:val="ListParagraph"/>
      </w:pPr>
      <w:r>
        <w:t xml:space="preserve">• liquidity constraints;</w:t>
      </w:r>
    </w:p>
    <w:p>
      <w:pPr>
        <w:pStyle w:val="ListParagraph"/>
      </w:pPr>
      <w:r>
        <w:t xml:space="preserve">• expectations about future VTS;</w:t>
      </w:r>
    </w:p>
    <w:p>
      <w:pPr>
        <w:pStyle w:val="ListParagraph"/>
      </w:pPr>
      <w:r>
        <w:t xml:space="preserve">• governance and implementation risk.</w:t>
      </w:r>
    </w:p>
    <w:p>
      <w:pPr>
        <w:pStyle w:val="Normal"/>
      </w:pPr>
      <w:r>
        <w:t xml:space="preserve">Arbitrage is risk-free only where a reliable conversion or redemption path enforces the relationship. V-FOREX does not claim such a path by default.</w:t>
      </w:r>
    </w:p>
    <w:p>
      <w:pPr>
        <w:pStyle w:val="Heading2"/>
      </w:pPr>
      <w:r>
        <w:t xml:space="preserve">24.4 Index-only V-FOREX</w:t>
      </w:r>
    </w:p>
    <w:p>
      <w:pPr>
        <w:pStyle w:val="Normal"/>
      </w:pPr>
      <w:r>
        <w:t xml:space="preserve">The initial implementation should operate as an index layer. VoxUI publishes reference pairs and historical relative performance without requiring tradable assets.</w:t>
      </w:r>
    </w:p>
    <w:p>
      <w:pPr>
        <w:pStyle w:val="Normal"/>
      </w:pPr>
      <w:r>
        <w:t xml:space="preserve">Benefits include:</w:t>
      </w:r>
    </w:p>
    <w:p>
      <w:pPr>
        <w:pStyle w:val="ListParagraph"/>
      </w:pPr>
      <w:r>
        <w:t xml:space="preserve">• immediate cross-chain comparison;</w:t>
      </w:r>
    </w:p>
    <w:p>
      <w:pPr>
        <w:pStyle w:val="ListParagraph"/>
      </w:pPr>
      <w:r>
        <w:t xml:space="preserve">• no bridge or liquidity risk;</w:t>
      </w:r>
    </w:p>
    <w:p>
      <w:pPr>
        <w:pStyle w:val="ListParagraph"/>
      </w:pPr>
      <w:r>
        <w:t xml:space="preserve">• transparent methodology testing;</w:t>
      </w:r>
    </w:p>
    <w:p>
      <w:pPr>
        <w:pStyle w:val="ListParagraph"/>
      </w:pPr>
      <w:r>
        <w:t xml:space="preserve">• ability to backtest pair behaviour;</w:t>
      </w:r>
    </w:p>
    <w:p>
      <w:pPr>
        <w:pStyle w:val="ListParagraph"/>
      </w:pPr>
      <w:r>
        <w:t xml:space="preserve">• separation of measurement research from token speculation.</w:t>
      </w:r>
    </w:p>
    <w:p>
      <w:pPr>
        <w:pStyle w:val="Heading2"/>
      </w:pPr>
      <w:r>
        <w:t xml:space="preserve">24.5 Tradable V-FOREX</w:t>
      </w:r>
    </w:p>
    <w:p>
      <w:pPr>
        <w:pStyle w:val="Normal"/>
      </w:pPr>
      <w:r>
        <w:t xml:space="preserve">A tradable implementation requires additional safeguards:</w:t>
      </w:r>
    </w:p>
    <w:p>
      <w:pPr>
        <w:pStyle w:val="ListParagraph"/>
      </w:pPr>
      <w:r>
        <w:t xml:space="preserve">• sufficient two-sided liquidity;</w:t>
      </w:r>
    </w:p>
    <w:p>
      <w:pPr>
        <w:pStyle w:val="ListParagraph"/>
      </w:pPr>
      <w:r>
        <w:t xml:space="preserve">• market-maker concentration limits;</w:t>
      </w:r>
    </w:p>
    <w:p>
      <w:pPr>
        <w:pStyle w:val="ListParagraph"/>
      </w:pPr>
      <w:r>
        <w:t xml:space="preserve">• transparent pool and routing design;</w:t>
      </w:r>
    </w:p>
    <w:p>
      <w:pPr>
        <w:pStyle w:val="ListParagraph"/>
      </w:pPr>
      <w:r>
        <w:t xml:space="preserve">• manipulation surveillance;</w:t>
      </w:r>
    </w:p>
    <w:p>
      <w:pPr>
        <w:pStyle w:val="ListParagraph"/>
      </w:pPr>
      <w:r>
        <w:t xml:space="preserve">• circuit breakers;</w:t>
      </w:r>
    </w:p>
    <w:p>
      <w:pPr>
        <w:pStyle w:val="ListParagraph"/>
      </w:pPr>
      <w:r>
        <w:t xml:space="preserve">• bridge and message verification;</w:t>
      </w:r>
    </w:p>
    <w:p>
      <w:pPr>
        <w:pStyle w:val="ListParagraph"/>
      </w:pPr>
      <w:r>
        <w:t xml:space="preserve">• oracle-failure handling;</w:t>
      </w:r>
    </w:p>
    <w:p>
      <w:pPr>
        <w:pStyle w:val="ListParagraph"/>
      </w:pPr>
      <w:r>
        <w:t xml:space="preserve">• liquidation and collateral parameters;</w:t>
      </w:r>
    </w:p>
    <w:p>
      <w:pPr>
        <w:pStyle w:val="ListParagraph"/>
      </w:pPr>
      <w:r>
        <w:t xml:space="preserve">• legal review of market structure.</w:t>
      </w:r>
    </w:p>
    <w:p>
      <w:pPr>
        <w:pStyle w:val="Heading2"/>
      </w:pPr>
      <w:r>
        <w:t xml:space="preserve">24.6 Pair construction</w:t>
      </w:r>
    </w:p>
    <w:p>
      <w:pPr>
        <w:pStyle w:val="Normal"/>
      </w:pPr>
      <w:r>
        <w:t xml:space="preserve">Every pair uses the same convention:</w:t>
      </w:r>
    </w:p>
    <w:p>
      <w:pPr>
        <w:jc w:val="center"/>
      </w:pPr>
      <w:r>
        <w:drawing>
          <wp:inline distT="0" distB="0" distL="0" distR="0">
            <wp:extent cx="5638800" cy="1461545"/>
            <wp:docPr id="45" name="Figure 45" descr="Specification figure or equation in 24. VOX Digital Forex Market (V-FOREX); original available in the DOCX"/>
            <a:graphic>
              <a:graphicData uri="http://schemas.openxmlformats.org/drawingml/2006/picture">
                <pic:pic>
                  <pic:nvPicPr>
                    <pic:cNvPr id="0" name="image45.png"/>
                    <pic:cNvPicPr/>
                  </pic:nvPicPr>
                  <pic:blipFill>
                    <a:blip r:embed="rId47"/>
                    <a:stretch>
                      <a:fillRect/>
                    </a:stretch>
                  </pic:blipFill>
                  <pic:spPr>
                    <a:xfrm>
                      <a:off x="0" y="0"/>
                      <a:ext cx="5638800" cy="1461545"/>
                    </a:xfrm>
                    <a:prstGeom prst="rect">
                      <a:avLst/>
                    </a:prstGeom>
                  </pic:spPr>
                </pic:pic>
              </a:graphicData>
            </a:graphic>
          </wp:inline>
        </w:drawing>
      </w:r>
    </w:p>
    <w:p>
      <w:pPr>
        <w:pStyle w:val="Normal"/>
      </w:pPr>
      <w:r>
        <w:t xml:space="preserve">The timestamp, methodology version, ERU version and confidence of both networks are part of the quote. A pair inherits the lower of the two VCS values unless the pair construction introduces additional uncertainty.</w:t>
      </w:r>
    </w:p>
    <w:p>
      <w:pPr>
        <w:pStyle w:val="Heading2"/>
      </w:pPr>
      <w:r>
        <w:t xml:space="preserve">24.7 Updating and stale rates</w:t>
      </w:r>
    </w:p>
    <w:p>
      <w:pPr>
        <w:pStyle w:val="Normal"/>
      </w:pPr>
      <w:r>
        <w:t xml:space="preserve">Reference rates update after validated VTS publication. If one network’s score is suspended or stale, the pair is flagged. It may continue to display the last valid reference with timestamp, but it cannot appear as current.</w:t>
      </w:r>
    </w:p>
    <w:p>
      <w:pPr>
        <w:pStyle w:val="Heading2"/>
      </w:pPr>
      <w:r>
        <w:t xml:space="preserve">24.8 Long-term research value</w:t>
      </w:r>
    </w:p>
    <w:p>
      <w:pPr>
        <w:pStyle w:val="Normal"/>
      </w:pPr>
      <w:r>
        <w:t xml:space="preserve">V-FOREX creates a new dataset: relative economic-performance histories across networks. Researchers can study whether market prices converge toward, lead or diverge from measured fundamentals, and whether specific indices explain long-term network outcomes.</w:t>
      </w:r>
    </w:p>
    <w:p>
      <w:pPr>
        <w:pStyle w:val="Heading1"/>
        <w:pageBreakBefore/>
      </w:pPr>
      <w:r>
        <w:t xml:space="preserve">25. Market, Cross-Chain and Settlement Risks</w:t>
      </w:r>
    </w:p>
    <w:p>
      <w:pPr>
        <w:pStyle w:val="Heading2"/>
      </w:pPr>
      <w:r>
        <w:t xml:space="preserve">25.1 Liquidity risk</w:t>
      </w:r>
    </w:p>
    <w:p>
      <w:pPr>
        <w:pStyle w:val="Normal"/>
      </w:pPr>
      <w:r>
        <w:t xml:space="preserve">A reference ratio does not create liquidity. Tradable VOX markets can become fragmented across chains, pools and bridges. Thin liquidity increases slippage, manipulation risk and liquidation instability.</w:t>
      </w:r>
    </w:p>
    <w:p>
      <w:pPr>
        <w:pStyle w:val="Normal"/>
      </w:pPr>
      <w:r>
        <w:t xml:space="preserve">Mitigations include minimum depth thresholds, protocol-owned liquidity limits, transparent incentives, multi-venue routing and suspension of high-risk collateral use.</w:t>
      </w:r>
    </w:p>
    <w:p>
      <w:pPr>
        <w:pStyle w:val="Heading2"/>
      </w:pPr>
      <w:r>
        <w:t xml:space="preserve">25.2 Bridge risk</w:t>
      </w:r>
    </w:p>
    <w:p>
      <w:pPr>
        <w:pStyle w:val="Normal"/>
      </w:pPr>
      <w:r>
        <w:t xml:space="preserve">Cross-chain VOX representations may rely on lock-and-mint bridges, canonical messaging, light clients, proof systems or third-party validators. Each mechanism creates different trust assumptions.</w:t>
      </w:r>
    </w:p>
    <w:p>
      <w:pPr>
        <w:pStyle w:val="Normal"/>
      </w:pPr>
      <w:r>
        <w:t xml:space="preserve">The framework requires:</w:t>
      </w:r>
    </w:p>
    <w:p>
      <w:pPr>
        <w:pStyle w:val="ListParagraph"/>
      </w:pPr>
      <w:r>
        <w:t xml:space="preserve">• canonical representation registry;</w:t>
      </w:r>
    </w:p>
    <w:p>
      <w:pPr>
        <w:pStyle w:val="ListParagraph"/>
      </w:pPr>
      <w:r>
        <w:t xml:space="preserve">• proof of locked and circulating supply;</w:t>
      </w:r>
    </w:p>
    <w:p>
      <w:pPr>
        <w:pStyle w:val="ListParagraph"/>
      </w:pPr>
      <w:r>
        <w:t xml:space="preserve">• bridge security assessment;</w:t>
      </w:r>
    </w:p>
    <w:p>
      <w:pPr>
        <w:pStyle w:val="ListParagraph"/>
      </w:pPr>
      <w:r>
        <w:t xml:space="preserve">• limits on unverified wrapped representations;</w:t>
      </w:r>
    </w:p>
    <w:p>
      <w:pPr>
        <w:pStyle w:val="ListParagraph"/>
      </w:pPr>
      <w:r>
        <w:t xml:space="preserve">• rapid suspension and reconciliation procedures;</w:t>
      </w:r>
    </w:p>
    <w:p>
      <w:pPr>
        <w:pStyle w:val="ListParagraph"/>
      </w:pPr>
      <w:r>
        <w:t xml:space="preserve">• avoidance of double counting across chains.</w:t>
      </w:r>
    </w:p>
    <w:p>
      <w:pPr>
        <w:pStyle w:val="Heading2"/>
      </w:pPr>
      <w:r>
        <w:t xml:space="preserve">25.3 Oracle and reference risk</w:t>
      </w:r>
    </w:p>
    <w:p>
      <w:pPr>
        <w:pStyle w:val="Normal"/>
      </w:pPr>
      <w:r>
        <w:t xml:space="preserve">If contracts use VTS or V-FOREX rates, they depend on timely and correct publication. A secure design uses multiple signed publishers, on-chain verification where possible, freshness limits, deviation checks and delayed governance-controlled upgrades.</w:t>
      </w:r>
    </w:p>
    <w:p>
      <w:pPr>
        <w:pStyle w:val="Normal"/>
      </w:pPr>
      <w:r>
        <w:t xml:space="preserve">Oracles transport an approved result; they do not privately determine the score.</w:t>
      </w:r>
    </w:p>
    <w:p>
      <w:pPr>
        <w:pStyle w:val="Heading2"/>
      </w:pPr>
      <w:r>
        <w:t xml:space="preserve">25.4 Manipulation risk</w:t>
      </w:r>
    </w:p>
    <w:p>
      <w:pPr>
        <w:pStyle w:val="Normal"/>
      </w:pPr>
      <w:r>
        <w:t xml:space="preserve">Attackers may attempt to inflate activity, liquidity, governance participation or adoption before a calculation. Anti-manipulation controls include smoothing, persistence, entity concentration, subsidy adjustment, standard trade simulations, cross-source checks and maximum update rates.</w:t>
      </w:r>
    </w:p>
    <w:p>
      <w:pPr>
        <w:pStyle w:val="Normal"/>
      </w:pPr>
      <w:r>
        <w:t xml:space="preserve">Economic security analysis must estimate the cost of manipulating each component relative to the potential gain from VOX issuance or derivative exposure.</w:t>
      </w:r>
    </w:p>
    <w:p>
      <w:pPr>
        <w:pStyle w:val="Heading2"/>
      </w:pPr>
      <w:r>
        <w:t xml:space="preserve">25.5 Reflexivity</w:t>
      </w:r>
    </w:p>
    <w:p>
      <w:pPr>
        <w:pStyle w:val="Normal"/>
      </w:pPr>
      <w:r>
        <w:t xml:space="preserve">A successful VOX market could influence the network it measures. Higher VOX liquidity may attract activity, while a declining score may reduce confidence. Edition 3.1 prevents direct circularity by excluding VOX-specific market activity from DLI and PoV for the same network unless it is clearly classified as an external output and capped. Reflexive effects remain a research and risk consideration.</w:t>
      </w:r>
    </w:p>
    <w:p>
      <w:pPr>
        <w:pStyle w:val="Heading2"/>
      </w:pPr>
      <w:r>
        <w:t xml:space="preserve">25.6 Governance and parameter risk</w:t>
      </w:r>
    </w:p>
    <w:p>
      <w:pPr>
        <w:pStyle w:val="Normal"/>
      </w:pPr>
      <w:r>
        <w:t xml:space="preserve">Even universal parameters can be harmful if calibrated poorly. Every market-affecting parameter requires simulation across historical stress periods, delayed activation, rollback planning and clear limits on emergency intervention.</w:t>
      </w:r>
    </w:p>
    <w:p>
      <w:pPr>
        <w:pStyle w:val="Heading2"/>
      </w:pPr>
      <w:r>
        <w:t xml:space="preserve">25.7 Legal and regulatory risk</w:t>
      </w:r>
    </w:p>
    <w:p>
      <w:pPr>
        <w:pStyle w:val="Normal"/>
      </w:pPr>
      <w:r>
        <w:t xml:space="preserve">A transferable VOX unit may be treated differently across jurisdictions depending on rights, distribution, governance, marketing and market use. No implementation should proceed without jurisdiction-specific advice. The analytical measurement framework can remain open research even where tokenised implementation is restricted.</w:t>
      </w:r>
    </w:p>
    <w:p>
      <w:pPr>
        <w:pStyle w:val="Heading2"/>
      </w:pPr>
      <w:r>
        <w:t xml:space="preserve">25.8 Safe-mode hierarchy</w:t>
      </w:r>
    </w:p>
    <w:p>
      <w:pPr>
        <w:pStyle w:val="Normal"/>
      </w:pPr>
      <w:r>
        <w:t xml:space="preserve">The optional economic layer uses a pre-defined safe-mode hierarchy:</w:t>
      </w:r>
    </w:p>
    <w:p>
      <w:pPr>
        <w:pStyle w:val="ListParagraph"/>
      </w:pPr>
      <w:r>
        <w:t xml:space="preserve">• flag anomalous data;</w:t>
      </w:r>
    </w:p>
    <w:p>
      <w:pPr>
        <w:pStyle w:val="ListParagraph"/>
      </w:pPr>
      <w:r>
        <w:t xml:space="preserve">• pause new reference publication if validation fails;</w:t>
      </w:r>
    </w:p>
    <w:p>
      <w:pPr>
        <w:pStyle w:val="ListParagraph"/>
      </w:pPr>
      <w:r>
        <w:t xml:space="preserve">• freeze new issuance while preserving balances;</w:t>
      </w:r>
    </w:p>
    <w:p>
      <w:pPr>
        <w:pStyle w:val="ListParagraph"/>
      </w:pPr>
      <w:r>
        <w:t xml:space="preserve">• disable use as collateral or settlement reference;</w:t>
      </w:r>
    </w:p>
    <w:p>
      <w:pPr>
        <w:pStyle w:val="ListParagraph"/>
      </w:pPr>
      <w:r>
        <w:t xml:space="preserve">• isolate compromised bridges or markets;</w:t>
      </w:r>
    </w:p>
    <w:p>
      <w:pPr>
        <w:pStyle w:val="ListParagraph"/>
      </w:pPr>
      <w:r>
        <w:t xml:space="preserve">• execute governed recovery and publish a full post-mortem.</w:t>
      </w:r>
    </w:p>
    <w:p>
      <w:pPr>
        <w:pStyle w:val="Normal"/>
      </w:pPr>
      <w:r>
        <w:t xml:space="preserve">Safe mode cannot be used to conceal ordinary negative performance.</w:t>
      </w:r>
    </w:p>
    <w:p>
      <w:pPr>
        <w:pStyle w:val="Normal"/>
      </w:pPr>
      <w:r>
        <w:t xml:space="preserve">Part VI — Governance, Transparency and Infrastructure</w:t>
      </w:r>
    </w:p>
    <w:p>
      <w:pPr>
        <w:pStyle w:val="Heading1"/>
        <w:pageBreakBefore/>
      </w:pPr>
      <w:r>
        <w:t xml:space="preserve">26. The VOX DAO</w:t>
      </w:r>
    </w:p>
    <w:p>
      <w:pPr>
        <w:pStyle w:val="Heading2"/>
      </w:pPr>
      <w:r>
        <w:t xml:space="preserve">26.1 Mandate</w:t>
      </w:r>
    </w:p>
    <w:p>
      <w:pPr>
        <w:pStyle w:val="Normal"/>
      </w:pPr>
      <w:r>
        <w:t xml:space="preserve">The VOX DAO governs the universal economic measurement standard. It does not govern the measured networks, and it cannot require a network to modify its protocol. Its mandate is limited to:</w:t>
      </w:r>
    </w:p>
    <w:p>
      <w:pPr>
        <w:pStyle w:val="ListParagraph"/>
      </w:pPr>
      <w:r>
        <w:t xml:space="preserve">• canonical definitions and metric registry;</w:t>
      </w:r>
    </w:p>
    <w:p>
      <w:pPr>
        <w:pStyle w:val="ListParagraph"/>
      </w:pPr>
      <w:r>
        <w:t xml:space="preserve">• submetric selection and internal weights;</w:t>
      </w:r>
    </w:p>
    <w:p>
      <w:pPr>
        <w:pStyle w:val="ListParagraph"/>
      </w:pPr>
      <w:r>
        <w:t xml:space="preserve">• normalisation and benchmark versions;</w:t>
      </w:r>
    </w:p>
    <w:p>
      <w:pPr>
        <w:pStyle w:val="ListParagraph"/>
      </w:pPr>
      <w:r>
        <w:t xml:space="preserve">• source standards and adapter certification;</w:t>
      </w:r>
    </w:p>
    <w:p>
      <w:pPr>
        <w:pStyle w:val="ListParagraph"/>
      </w:pPr>
      <w:r>
        <w:t xml:space="preserve">• confidence and publication policy;</w:t>
      </w:r>
    </w:p>
    <w:p>
      <w:pPr>
        <w:pStyle w:val="ListParagraph"/>
      </w:pPr>
      <w:r>
        <w:t xml:space="preserve">• ERU methodology;</w:t>
      </w:r>
    </w:p>
    <w:p>
      <w:pPr>
        <w:pStyle w:val="ListParagraph"/>
      </w:pPr>
      <w:r>
        <w:t xml:space="preserve">• dispute and revision processes;</w:t>
      </w:r>
    </w:p>
    <w:p>
      <w:pPr>
        <w:pStyle w:val="ListParagraph"/>
      </w:pPr>
      <w:r>
        <w:t xml:space="preserve">• VoxUI and public API standards;</w:t>
      </w:r>
    </w:p>
    <w:p>
      <w:pPr>
        <w:pStyle w:val="ListParagraph"/>
      </w:pPr>
      <w:r>
        <w:t xml:space="preserve">• optional VOX and V-FOREX implementation parameters;</w:t>
      </w:r>
    </w:p>
    <w:p>
      <w:pPr>
        <w:pStyle w:val="ListParagraph"/>
      </w:pPr>
      <w:r>
        <w:t xml:space="preserve">• treasury funding for research, audits and public infrastructure.</w:t>
      </w:r>
    </w:p>
    <w:p>
      <w:pPr>
        <w:pStyle w:val="Heading2"/>
      </w:pPr>
      <w:r>
        <w:t xml:space="preserve">26.2 Constitutional restrictions</w:t>
      </w:r>
    </w:p>
    <w:p>
      <w:pPr>
        <w:pStyle w:val="Normal"/>
      </w:pPr>
      <w:r>
        <w:t xml:space="preserve">The DAO cannot, under Edition 3.1:</w:t>
      </w:r>
    </w:p>
    <w:p>
      <w:pPr>
        <w:pStyle w:val="ListParagraph"/>
      </w:pPr>
      <w:r>
        <w:t xml:space="preserve">• change the equal weighting of the six parent VTS indices;</w:t>
      </w:r>
    </w:p>
    <w:p>
      <w:pPr>
        <w:pStyle w:val="ListParagraph"/>
      </w:pPr>
      <w:r>
        <w:t xml:space="preserve">• remove a parent index from one network while retaining it for another;</w:t>
      </w:r>
    </w:p>
    <w:p>
      <w:pPr>
        <w:pStyle w:val="ListParagraph"/>
      </w:pPr>
      <w:r>
        <w:t xml:space="preserve">• create a private calculation method;</w:t>
      </w:r>
    </w:p>
    <w:p>
      <w:pPr>
        <w:pStyle w:val="ListParagraph"/>
      </w:pPr>
      <w:r>
        <w:t xml:space="preserve">• rewrite historical scores without preserving prior versions;</w:t>
      </w:r>
    </w:p>
    <w:p>
      <w:pPr>
        <w:pStyle w:val="ListParagraph"/>
      </w:pPr>
      <w:r>
        <w:t xml:space="preserve">• approve a chain-specific supply cap or favourable VOX parameter;</w:t>
      </w:r>
    </w:p>
    <w:p>
      <w:pPr>
        <w:pStyle w:val="ListParagraph"/>
      </w:pPr>
      <w:r>
        <w:t xml:space="preserve">• hide conflicts of interest or paid data arrangements;</w:t>
      </w:r>
    </w:p>
    <w:p>
      <w:pPr>
        <w:pStyle w:val="ListParagraph"/>
      </w:pPr>
      <w:r>
        <w:t xml:space="preserve">• suppress a valid negative result for commercial or political reasons;</w:t>
      </w:r>
    </w:p>
    <w:p>
      <w:pPr>
        <w:pStyle w:val="ListParagraph"/>
      </w:pPr>
      <w:r>
        <w:t xml:space="preserve">• authorise token activation without the published safety thresholds.</w:t>
      </w:r>
    </w:p>
    <w:p>
      <w:pPr>
        <w:pStyle w:val="Normal"/>
      </w:pPr>
      <w:r>
        <w:t xml:space="preserve">A proposal that conflicts with these restrictions requires publication of a new constitutional edition, not an ordinary vote.</w:t>
      </w:r>
    </w:p>
    <w:p>
      <w:pPr>
        <w:pStyle w:val="Heading2"/>
      </w:pPr>
      <w:r>
        <w:t xml:space="preserve">26.3 Governance objects</w:t>
      </w:r>
    </w:p>
    <w:p>
      <w:pPr>
        <w:pStyle w:val="Normal"/>
      </w:pPr>
      <w:r>
        <w:t xml:space="preserve">DAO proposals are classified as:</w:t>
      </w:r>
    </w:p>
    <w:p>
      <w:pPr>
        <w:pStyle w:val="ListParagraph"/>
      </w:pPr>
      <w:r>
        <w:t xml:space="preserve">• source proposals — add, remove or change a data source;</w:t>
      </w:r>
    </w:p>
    <w:p>
      <w:pPr>
        <w:pStyle w:val="ListParagraph"/>
      </w:pPr>
      <w:r>
        <w:t xml:space="preserve">• adapter proposals — certify, upgrade, suspend or replace an adapter;</w:t>
      </w:r>
    </w:p>
    <w:p>
      <w:pPr>
        <w:pStyle w:val="ListParagraph"/>
      </w:pPr>
      <w:r>
        <w:t xml:space="preserve">• methodology proposals — modify transformations, benchmarks or submetric weights;</w:t>
      </w:r>
    </w:p>
    <w:p>
      <w:pPr>
        <w:pStyle w:val="ListParagraph"/>
      </w:pPr>
      <w:r>
        <w:t xml:space="preserve">• policy proposals — alter confidence, publication or dispute rules;</w:t>
      </w:r>
    </w:p>
    <w:p>
      <w:pPr>
        <w:pStyle w:val="ListParagraph"/>
      </w:pPr>
      <w:r>
        <w:t xml:space="preserve">• infrastructure proposals — fund or upgrade VoxUI, APIs, nodes and indexers;</w:t>
      </w:r>
    </w:p>
    <w:p>
      <w:pPr>
        <w:pStyle w:val="ListParagraph"/>
      </w:pPr>
      <w:r>
        <w:t xml:space="preserve">• economic-layer proposals — activate or modify optional VOX or V-FOREX components;</w:t>
      </w:r>
    </w:p>
    <w:p>
      <w:pPr>
        <w:pStyle w:val="ListParagraph"/>
      </w:pPr>
      <w:r>
        <w:t xml:space="preserve">• constitutional proposals — publish a new framework edition.</w:t>
      </w:r>
    </w:p>
    <w:p>
      <w:pPr>
        <w:pStyle w:val="Normal"/>
      </w:pPr>
      <w:r>
        <w:t xml:space="preserve">Different classes use different quorum, review and delay requirements.</w:t>
      </w:r>
    </w:p>
    <w:p>
      <w:pPr>
        <w:pStyle w:val="Heading2"/>
      </w:pPr>
      <w:r>
        <w:t xml:space="preserve">26.4 Representation</w:t>
      </w:r>
    </w:p>
    <w:p>
      <w:pPr>
        <w:pStyle w:val="Normal"/>
      </w:pPr>
      <w:r>
        <w:t xml:space="preserve">Governance design must balance stake, expertise, independence and broad participation. Pure token-weighted governance can be captured by concentrated capital; pure expert governance can become closed and unaccountable.</w:t>
      </w:r>
    </w:p>
    <w:p>
      <w:pPr>
        <w:pStyle w:val="Normal"/>
      </w:pPr>
      <w:r>
        <w:t xml:space="preserve">The implementation may use a bicameral or multi-house model:</w:t>
      </w:r>
    </w:p>
    <w:p>
      <w:pPr>
        <w:pStyle w:val="ListParagraph"/>
      </w:pPr>
      <w:r>
        <w:t xml:space="preserve">• a participant house representing broad governance stake;</w:t>
      </w:r>
    </w:p>
    <w:p>
      <w:pPr>
        <w:pStyle w:val="ListParagraph"/>
      </w:pPr>
      <w:r>
        <w:t xml:space="preserve">• a technical and methodological council elected under transparent terms;</w:t>
      </w:r>
    </w:p>
    <w:p>
      <w:pPr>
        <w:pStyle w:val="ListParagraph"/>
      </w:pPr>
      <w:r>
        <w:t xml:space="preserve">• an independent audit or guardian function limited to delay and review, not permanent veto.</w:t>
      </w:r>
    </w:p>
    <w:p>
      <w:pPr>
        <w:pStyle w:val="Normal"/>
      </w:pPr>
      <w:r>
        <w:t xml:space="preserve">The exact mechanism is an implementation decision, but all authority must be visible and bounded.</w:t>
      </w:r>
    </w:p>
    <w:p>
      <w:pPr>
        <w:pStyle w:val="Heading2"/>
      </w:pPr>
      <w:r>
        <w:t xml:space="preserve">26.5 Conflicts of interest</w:t>
      </w:r>
    </w:p>
    <w:p>
      <w:pPr>
        <w:pStyle w:val="Normal"/>
      </w:pPr>
      <w:r>
        <w:t xml:space="preserve">Proposal authors, reviewers and voters must disclose material interests, including holdings, employment, grants, data-provider relationships and paid research. Conflict disclosure does not automatically exclude participation, but it affects review and quorum rules for high-impact proposals.</w:t>
      </w:r>
    </w:p>
    <w:p>
      <w:pPr>
        <w:pStyle w:val="Heading2"/>
      </w:pPr>
      <w:r>
        <w:t xml:space="preserve">26.6 Treasury</w:t>
      </w:r>
    </w:p>
    <w:p>
      <w:pPr>
        <w:pStyle w:val="Normal"/>
      </w:pPr>
      <w:r>
        <w:t xml:space="preserve">The DAO treasury may fund:</w:t>
      </w:r>
    </w:p>
    <w:p>
      <w:pPr>
        <w:pStyle w:val="ListParagraph"/>
      </w:pPr>
      <w:r>
        <w:t xml:space="preserve">• open-source adapters and data infrastructure;</w:t>
      </w:r>
    </w:p>
    <w:p>
      <w:pPr>
        <w:pStyle w:val="ListParagraph"/>
      </w:pPr>
      <w:r>
        <w:t xml:space="preserve">• archival nodes and indexers;</w:t>
      </w:r>
    </w:p>
    <w:p>
      <w:pPr>
        <w:pStyle w:val="ListParagraph"/>
      </w:pPr>
      <w:r>
        <w:t xml:space="preserve">• independent audits;</w:t>
      </w:r>
    </w:p>
    <w:p>
      <w:pPr>
        <w:pStyle w:val="ListParagraph"/>
      </w:pPr>
      <w:r>
        <w:t xml:space="preserve">• economic research and validation;</w:t>
      </w:r>
    </w:p>
    <w:p>
      <w:pPr>
        <w:pStyle w:val="ListParagraph"/>
      </w:pPr>
      <w:r>
        <w:t xml:space="preserve">• bug bounties;</w:t>
      </w:r>
    </w:p>
    <w:p>
      <w:pPr>
        <w:pStyle w:val="ListParagraph"/>
      </w:pPr>
      <w:r>
        <w:t xml:space="preserve">• public documentation and education;</w:t>
      </w:r>
    </w:p>
    <w:p>
      <w:pPr>
        <w:pStyle w:val="ListParagraph"/>
      </w:pPr>
      <w:r>
        <w:t xml:space="preserve">• legal analysis for optional implementations;</w:t>
      </w:r>
    </w:p>
    <w:p>
      <w:pPr>
        <w:pStyle w:val="ListParagraph"/>
      </w:pPr>
      <w:r>
        <w:t xml:space="preserve">• emergency response within constitutional limits.</w:t>
      </w:r>
    </w:p>
    <w:p>
      <w:pPr>
        <w:pStyle w:val="Normal"/>
      </w:pPr>
      <w:r>
        <w:t xml:space="preserve">Treasury spending is public and versioned. Grants cannot purchase favourable scores.</w:t>
      </w:r>
    </w:p>
    <w:p>
      <w:pPr>
        <w:pStyle w:val="Heading1"/>
        <w:pageBreakBefore/>
      </w:pPr>
      <w:r>
        <w:t xml:space="preserve">27. Governance Mechanics and Capture Resistance</w:t>
      </w:r>
    </w:p>
    <w:p>
      <w:pPr>
        <w:pStyle w:val="Heading2"/>
      </w:pPr>
      <w:r>
        <w:t xml:space="preserve">27.1 Proposal lifecycle</w:t>
      </w:r>
    </w:p>
    <w:p>
      <w:pPr>
        <w:pStyle w:val="Normal"/>
      </w:pPr>
      <w:r>
        <w:t xml:space="preserve">A standard proposal follows:</w:t>
      </w:r>
    </w:p>
    <w:p>
      <w:pPr>
        <w:pStyle w:val="ListParagraph"/>
      </w:pPr>
      <w:r>
        <w:t xml:space="preserve">• Draft — problem statement, evidence and proposed change.</w:t>
      </w:r>
    </w:p>
    <w:p>
      <w:pPr>
        <w:pStyle w:val="ListParagraph"/>
      </w:pPr>
      <w:r>
        <w:t xml:space="preserve">• Technical review — reproducibility, security and methodology assessment.</w:t>
      </w:r>
    </w:p>
    <w:p>
      <w:pPr>
        <w:pStyle w:val="ListParagraph"/>
      </w:pPr>
      <w:r>
        <w:t xml:space="preserve">• Public consultation — open comments and competing proposals.</w:t>
      </w:r>
    </w:p>
    <w:p>
      <w:pPr>
        <w:pStyle w:val="ListParagraph"/>
      </w:pPr>
      <w:r>
        <w:t xml:space="preserve">• Simulation — historical backtest, sensitivity and impact report.</w:t>
      </w:r>
    </w:p>
    <w:p>
      <w:pPr>
        <w:pStyle w:val="ListParagraph"/>
      </w:pPr>
      <w:r>
        <w:t xml:space="preserve">• Formal vote — quorum and approval threshold by proposal class.</w:t>
      </w:r>
    </w:p>
    <w:p>
      <w:pPr>
        <w:pStyle w:val="ListParagraph"/>
      </w:pPr>
      <w:r>
        <w:t xml:space="preserve">• Timelock — delayed execution with public final code and parameters.</w:t>
      </w:r>
    </w:p>
    <w:p>
      <w:pPr>
        <w:pStyle w:val="ListParagraph"/>
      </w:pPr>
      <w:r>
        <w:t xml:space="preserve">• Activation — versioned deployment at a defined timestamp.</w:t>
      </w:r>
    </w:p>
    <w:p>
      <w:pPr>
        <w:pStyle w:val="ListParagraph"/>
      </w:pPr>
      <w:r>
        <w:t xml:space="preserve">• Post-activation review — monitoring and comparison with simulated effect.</w:t>
      </w:r>
    </w:p>
    <w:p>
      <w:pPr>
        <w:pStyle w:val="Heading2"/>
      </w:pPr>
      <w:r>
        <w:t xml:space="preserve">27.2 Required proposal package</w:t>
      </w:r>
    </w:p>
    <w:p>
      <w:pPr>
        <w:pStyle w:val="Normal"/>
      </w:pPr>
      <w:r>
        <w:t xml:space="preserve">Every methodology proposal includes:</w:t>
      </w:r>
    </w:p>
    <w:p>
      <w:pPr>
        <w:pStyle w:val="ListParagraph"/>
      </w:pPr>
      <w:r>
        <w:t xml:space="preserve">• exact mathematical change;</w:t>
      </w:r>
    </w:p>
    <w:p>
      <w:pPr>
        <w:pStyle w:val="ListParagraph"/>
      </w:pPr>
      <w:r>
        <w:t xml:space="preserve">• machine-readable configuration diff;</w:t>
      </w:r>
    </w:p>
    <w:p>
      <w:pPr>
        <w:pStyle w:val="ListParagraph"/>
      </w:pPr>
      <w:r>
        <w:t xml:space="preserve">• affected metrics and networks;</w:t>
      </w:r>
    </w:p>
    <w:p>
      <w:pPr>
        <w:pStyle w:val="ListParagraph"/>
      </w:pPr>
      <w:r>
        <w:t xml:space="preserve">• historical recalculation;</w:t>
      </w:r>
    </w:p>
    <w:p>
      <w:pPr>
        <w:pStyle w:val="ListParagraph"/>
      </w:pPr>
      <w:r>
        <w:t xml:space="preserve">• distributional and ranking impact;</w:t>
      </w:r>
    </w:p>
    <w:p>
      <w:pPr>
        <w:pStyle w:val="ListParagraph"/>
      </w:pPr>
      <w:r>
        <w:t xml:space="preserve">• manipulation and gaming analysis;</w:t>
      </w:r>
    </w:p>
    <w:p>
      <w:pPr>
        <w:pStyle w:val="ListParagraph"/>
      </w:pPr>
      <w:r>
        <w:t xml:space="preserve">• source and adapter implications;</w:t>
      </w:r>
    </w:p>
    <w:p>
      <w:pPr>
        <w:pStyle w:val="ListParagraph"/>
      </w:pPr>
      <w:r>
        <w:t xml:space="preserve">• migration and rollback plan;</w:t>
      </w:r>
    </w:p>
    <w:p>
      <w:pPr>
        <w:pStyle w:val="ListParagraph"/>
      </w:pPr>
      <w:r>
        <w:t xml:space="preserve">• conflicts of interest;</w:t>
      </w:r>
    </w:p>
    <w:p>
      <w:pPr>
        <w:pStyle w:val="ListParagraph"/>
      </w:pPr>
      <w:r>
        <w:t xml:space="preserve">• plain-language rationale.</w:t>
      </w:r>
    </w:p>
    <w:p>
      <w:pPr>
        <w:pStyle w:val="Heading2"/>
      </w:pPr>
      <w:r>
        <w:t xml:space="preserve">27.3 Thresholds</w:t>
      </w:r>
    </w:p>
    <w:p>
      <w:pPr>
        <w:pStyle w:val="Normal"/>
      </w:pPr>
      <w:r>
        <w:t xml:space="preserve">Illustrative minimums are:</w:t>
      </w:r>
    </w:p>
    <w:tbl>
      <w:tblPr>
        <w:tblStyle w:val="TableGrid"/>
        <w:tblW w:w="9100" w:type="dxa"/>
        <w:tblLayout w:type="autofit"/>
      </w:tblPr>
      <w:tblGrid>
        <w:gridCol w:w="2275"/>
        <w:gridCol w:w="2275"/>
        <w:gridCol w:w="2275"/>
        <w:gridCol w:w="2275"/>
      </w:tblGrid>
      <w:tr>
        <w:trPr>
          <w:cantSplit/>
          <w:tblHeader/>
        </w:trPr>
        <w:tc>
          <w:tcPr>
            <w:tcW w:w="2275" w:type="dxa"/>
          </w:tcPr>
          <w:p>
            <w:pPr>
              <w:pStyle w:val="TableHeader"/>
            </w:pPr>
            <w:r>
              <w:t xml:space="preserve">Proposal class</w:t>
            </w:r>
          </w:p>
        </w:tc>
        <w:tc>
          <w:tcPr>
            <w:tcW w:w="2275" w:type="dxa"/>
          </w:tcPr>
          <w:p>
            <w:pPr>
              <w:pStyle w:val="TableHeader"/>
            </w:pPr>
            <w:r>
              <w:t xml:space="preserve">Quorum</w:t>
            </w:r>
          </w:p>
        </w:tc>
        <w:tc>
          <w:tcPr>
            <w:tcW w:w="2275" w:type="dxa"/>
          </w:tcPr>
          <w:p>
            <w:pPr>
              <w:pStyle w:val="TableHeader"/>
            </w:pPr>
            <w:r>
              <w:t xml:space="preserve">Approval</w:t>
            </w:r>
          </w:p>
        </w:tc>
        <w:tc>
          <w:tcPr>
            <w:tcW w:w="2275" w:type="dxa"/>
          </w:tcPr>
          <w:p>
            <w:pPr>
              <w:pStyle w:val="TableHeader"/>
            </w:pPr>
            <w:r>
              <w:t xml:space="preserve">Timelock</w:t>
            </w:r>
          </w:p>
        </w:tc>
      </w:tr>
      <w:tr>
        <w:trPr>
          <w:cantSplit/>
        </w:trPr>
        <w:tc>
          <w:tcPr>
            <w:tcW w:w="2275" w:type="dxa"/>
          </w:tcPr>
          <w:p>
            <w:pPr>
              <w:pStyle w:val="TableText"/>
            </w:pPr>
            <w:r>
              <w:t xml:space="preserve">Source or minor adapter update</w:t>
            </w:r>
          </w:p>
        </w:tc>
        <w:tc>
          <w:tcPr>
            <w:tcW w:w="2275" w:type="dxa"/>
          </w:tcPr>
          <w:p>
            <w:pPr>
              <w:pStyle w:val="TableText"/>
            </w:pPr>
            <w:r>
              <w:t xml:space="preserve">10%</w:t>
            </w:r>
          </w:p>
        </w:tc>
        <w:tc>
          <w:tcPr>
            <w:tcW w:w="2275" w:type="dxa"/>
          </w:tcPr>
          <w:p>
            <w:pPr>
              <w:pStyle w:val="TableText"/>
            </w:pPr>
            <w:r>
              <w:t xml:space="preserve">Simple majority</w:t>
            </w:r>
          </w:p>
        </w:tc>
        <w:tc>
          <w:tcPr>
            <w:tcW w:w="2275" w:type="dxa"/>
          </w:tcPr>
          <w:p>
            <w:pPr>
              <w:pStyle w:val="TableText"/>
            </w:pPr>
            <w:r>
              <w:t xml:space="preserve">7 days</w:t>
            </w:r>
          </w:p>
        </w:tc>
      </w:tr>
      <w:tr>
        <w:trPr>
          <w:cantSplit/>
        </w:trPr>
        <w:tc>
          <w:tcPr>
            <w:tcW w:w="2275" w:type="dxa"/>
          </w:tcPr>
          <w:p>
            <w:pPr>
              <w:pStyle w:val="TableText"/>
            </w:pPr>
            <w:r>
              <w:t xml:space="preserve">Methodology or benchmark change</w:t>
            </w:r>
          </w:p>
        </w:tc>
        <w:tc>
          <w:tcPr>
            <w:tcW w:w="2275" w:type="dxa"/>
          </w:tcPr>
          <w:p>
            <w:pPr>
              <w:pStyle w:val="TableText"/>
            </w:pPr>
            <w:r>
              <w:t xml:space="preserve">20%</w:t>
            </w:r>
          </w:p>
        </w:tc>
        <w:tc>
          <w:tcPr>
            <w:tcW w:w="2275" w:type="dxa"/>
          </w:tcPr>
          <w:p>
            <w:pPr>
              <w:pStyle w:val="TableText"/>
            </w:pPr>
            <w:r>
              <w:t xml:space="preserve">66.7%</w:t>
            </w:r>
          </w:p>
        </w:tc>
        <w:tc>
          <w:tcPr>
            <w:tcW w:w="2275" w:type="dxa"/>
          </w:tcPr>
          <w:p>
            <w:pPr>
              <w:pStyle w:val="TableText"/>
            </w:pPr>
            <w:r>
              <w:t xml:space="preserve">30 days</w:t>
            </w:r>
          </w:p>
        </w:tc>
      </w:tr>
      <w:tr>
        <w:trPr>
          <w:cantSplit/>
        </w:trPr>
        <w:tc>
          <w:tcPr>
            <w:tcW w:w="2275" w:type="dxa"/>
          </w:tcPr>
          <w:p>
            <w:pPr>
              <w:pStyle w:val="TableText"/>
            </w:pPr>
            <w:r>
              <w:t xml:space="preserve">Optional economic-layer activation</w:t>
            </w:r>
          </w:p>
        </w:tc>
        <w:tc>
          <w:tcPr>
            <w:tcW w:w="2275" w:type="dxa"/>
          </w:tcPr>
          <w:p>
            <w:pPr>
              <w:pStyle w:val="TableText"/>
            </w:pPr>
            <w:r>
              <w:t xml:space="preserve">30%</w:t>
            </w:r>
          </w:p>
        </w:tc>
        <w:tc>
          <w:tcPr>
            <w:tcW w:w="2275" w:type="dxa"/>
          </w:tcPr>
          <w:p>
            <w:pPr>
              <w:pStyle w:val="TableText"/>
            </w:pPr>
            <w:r>
              <w:t xml:space="preserve">75%</w:t>
            </w:r>
          </w:p>
        </w:tc>
        <w:tc>
          <w:tcPr>
            <w:tcW w:w="2275" w:type="dxa"/>
          </w:tcPr>
          <w:p>
            <w:pPr>
              <w:pStyle w:val="TableText"/>
            </w:pPr>
            <w:r>
              <w:t xml:space="preserve">60 days</w:t>
            </w:r>
          </w:p>
        </w:tc>
      </w:tr>
      <w:tr>
        <w:trPr>
          <w:cantSplit/>
        </w:trPr>
        <w:tc>
          <w:tcPr>
            <w:tcW w:w="2275" w:type="dxa"/>
          </w:tcPr>
          <w:p>
            <w:pPr>
              <w:pStyle w:val="TableText"/>
            </w:pPr>
            <w:r>
              <w:t xml:space="preserve">Constitutional edition</w:t>
            </w:r>
          </w:p>
        </w:tc>
        <w:tc>
          <w:tcPr>
            <w:tcW w:w="2275" w:type="dxa"/>
          </w:tcPr>
          <w:p>
            <w:pPr>
              <w:pStyle w:val="TableText"/>
            </w:pPr>
            <w:r>
              <w:t xml:space="preserve">40%</w:t>
            </w:r>
          </w:p>
        </w:tc>
        <w:tc>
          <w:tcPr>
            <w:tcW w:w="2275" w:type="dxa"/>
          </w:tcPr>
          <w:p>
            <w:pPr>
              <w:pStyle w:val="TableText"/>
            </w:pPr>
            <w:r>
              <w:t xml:space="preserve">80%</w:t>
            </w:r>
          </w:p>
        </w:tc>
        <w:tc>
          <w:tcPr>
            <w:tcW w:w="2275" w:type="dxa"/>
          </w:tcPr>
          <w:p>
            <w:pPr>
              <w:pStyle w:val="TableText"/>
            </w:pPr>
            <w:r>
              <w:t xml:space="preserve">90 days</w:t>
            </w:r>
          </w:p>
        </w:tc>
      </w:tr>
    </w:tbl>
    <w:p>
      <w:pPr>
        <w:pStyle w:val="Normal"/>
      </w:pPr>
      <w:r>
        <w:t xml:space="preserve">These figures are genesis parameters subject to pre-launch simulation. The constitution fixes the process class, not these exact percentages.</w:t>
      </w:r>
    </w:p>
    <w:p>
      <w:pPr>
        <w:pStyle w:val="Heading2"/>
      </w:pPr>
      <w:r>
        <w:t xml:space="preserve">27.4 Delegation and vote concentration</w:t>
      </w:r>
    </w:p>
    <w:p>
      <w:pPr>
        <w:pStyle w:val="Normal"/>
      </w:pPr>
      <w:r>
        <w:t xml:space="preserve">Delegation can improve informed participation but may concentrate power. VoxUI publishes delegate voting power, participation, conflicts and voting history. Governance may apply concentration caps, quadratic mechanisms or house-based approval, provided the rules are public and consistently applied.</w:t>
      </w:r>
    </w:p>
    <w:p>
      <w:pPr>
        <w:pStyle w:val="Heading2"/>
      </w:pPr>
      <w:r>
        <w:t xml:space="preserve">27.5 Emergency action</w:t>
      </w:r>
    </w:p>
    <w:p>
      <w:pPr>
        <w:pStyle w:val="Normal"/>
      </w:pPr>
      <w:r>
        <w:t xml:space="preserve">Emergency authority is limited to preventing immediate data corruption, security loss or unsafe economic-layer operation. Emergency actions must:</w:t>
      </w:r>
    </w:p>
    <w:p>
      <w:pPr>
        <w:pStyle w:val="ListParagraph"/>
      </w:pPr>
      <w:r>
        <w:t xml:space="preserve">• use pre-defined powers;</w:t>
      </w:r>
    </w:p>
    <w:p>
      <w:pPr>
        <w:pStyle w:val="ListParagraph"/>
      </w:pPr>
      <w:r>
        <w:t xml:space="preserve">• be time-limited;</w:t>
      </w:r>
    </w:p>
    <w:p>
      <w:pPr>
        <w:pStyle w:val="ListParagraph"/>
      </w:pPr>
      <w:r>
        <w:t xml:space="preserve">• preserve historical evidence;</w:t>
      </w:r>
    </w:p>
    <w:p>
      <w:pPr>
        <w:pStyle w:val="ListParagraph"/>
      </w:pPr>
      <w:r>
        <w:t xml:space="preserve">• trigger immediate public notice;</w:t>
      </w:r>
    </w:p>
    <w:p>
      <w:pPr>
        <w:pStyle w:val="ListParagraph"/>
      </w:pPr>
      <w:r>
        <w:t xml:space="preserve">• require retrospective ratification;</w:t>
      </w:r>
    </w:p>
    <w:p>
      <w:pPr>
        <w:pStyle w:val="ListParagraph"/>
      </w:pPr>
      <w:r>
        <w:t xml:space="preserve">• never alter a score merely because it is economically inconvenient.</w:t>
      </w:r>
    </w:p>
    <w:p>
      <w:pPr>
        <w:pStyle w:val="Heading2"/>
      </w:pPr>
      <w:r>
        <w:t xml:space="preserve">27.6 Capture resistance</w:t>
      </w:r>
    </w:p>
    <w:p>
      <w:pPr>
        <w:pStyle w:val="Normal"/>
      </w:pPr>
      <w:r>
        <w:t xml:space="preserve">Capture resistance combines:</w:t>
      </w:r>
    </w:p>
    <w:p>
      <w:pPr>
        <w:pStyle w:val="ListParagraph"/>
      </w:pPr>
      <w:r>
        <w:t xml:space="preserve">• diversified voting and review bodies;</w:t>
      </w:r>
    </w:p>
    <w:p>
      <w:pPr>
        <w:pStyle w:val="ListParagraph"/>
      </w:pPr>
      <w:r>
        <w:t xml:space="preserve">• timelocks;</w:t>
      </w:r>
    </w:p>
    <w:p>
      <w:pPr>
        <w:pStyle w:val="ListParagraph"/>
      </w:pPr>
      <w:r>
        <w:t xml:space="preserve">• supermajority thresholds;</w:t>
      </w:r>
    </w:p>
    <w:p>
      <w:pPr>
        <w:pStyle w:val="ListParagraph"/>
      </w:pPr>
      <w:r>
        <w:t xml:space="preserve">• public evidence requirements;</w:t>
      </w:r>
    </w:p>
    <w:p>
      <w:pPr>
        <w:pStyle w:val="ListParagraph"/>
      </w:pPr>
      <w:r>
        <w:t xml:space="preserve">• conflict disclosure;</w:t>
      </w:r>
    </w:p>
    <w:p>
      <w:pPr>
        <w:pStyle w:val="ListParagraph"/>
      </w:pPr>
      <w:r>
        <w:t xml:space="preserve">• immutable history;</w:t>
      </w:r>
    </w:p>
    <w:p>
      <w:pPr>
        <w:pStyle w:val="ListParagraph"/>
      </w:pPr>
      <w:r>
        <w:t xml:space="preserve">• forkable open-source software and data;</w:t>
      </w:r>
    </w:p>
    <w:p>
      <w:pPr>
        <w:pStyle w:val="ListParagraph"/>
      </w:pPr>
      <w:r>
        <w:t xml:space="preserve">• independent reproduction of calculations.</w:t>
      </w:r>
    </w:p>
    <w:p>
      <w:pPr>
        <w:pStyle w:val="Normal"/>
      </w:pPr>
      <w:r>
        <w:t xml:space="preserve">The ultimate defence is exit and verification: if governance corrupts the standard, the public must be able to reproduce the last valid version.</w:t>
      </w:r>
    </w:p>
    <w:p>
      <w:pPr>
        <w:pStyle w:val="Heading1"/>
        <w:pageBreakBefore/>
      </w:pPr>
      <w:r>
        <w:t xml:space="preserve">28. Versioning, Audit and Dispute Resolution</w:t>
      </w:r>
    </w:p>
    <w:p>
      <w:pPr>
        <w:pStyle w:val="Heading2"/>
      </w:pPr>
      <w:r>
        <w:t xml:space="preserve">28.1 Semantic versioning</w:t>
      </w:r>
    </w:p>
    <w:p>
      <w:pPr>
        <w:pStyle w:val="Normal"/>
      </w:pPr>
      <w:r>
        <w:t xml:space="preserve">Framework versions use:</w:t>
      </w:r>
    </w:p>
    <w:p>
      <w:pPr>
        <w:pStyle w:val="ListParagraph"/>
      </w:pPr>
      <w:r>
        <w:t xml:space="preserve">• major version — constitutional change or incompatible methodology;</w:t>
      </w:r>
    </w:p>
    <w:p>
      <w:pPr>
        <w:pStyle w:val="ListParagraph"/>
      </w:pPr>
      <w:r>
        <w:t xml:space="preserve">• minor version — material but compatible metric, benchmark or policy update;</w:t>
      </w:r>
    </w:p>
    <w:p>
      <w:pPr>
        <w:pStyle w:val="ListParagraph"/>
      </w:pPr>
      <w:r>
        <w:t xml:space="preserve">• patch version — defect correction that does not change intended methodology.</w:t>
      </w:r>
    </w:p>
    <w:p>
      <w:pPr>
        <w:pStyle w:val="Normal"/>
      </w:pPr>
      <w:r>
        <w:t xml:space="preserve">Every result records the full framework, metric-registry, adapter and source version.</w:t>
      </w:r>
    </w:p>
    <w:p>
      <w:pPr>
        <w:pStyle w:val="Heading2"/>
      </w:pPr>
      <w:r>
        <w:t xml:space="preserve">28.2 Historical series</w:t>
      </w:r>
    </w:p>
    <w:p>
      <w:pPr>
        <w:pStyle w:val="Normal"/>
      </w:pPr>
      <w:r>
        <w:t xml:space="preserve">When a major or minor methodology change occurs, Voxonomics publishes:</w:t>
      </w:r>
    </w:p>
    <w:p>
      <w:pPr>
        <w:pStyle w:val="ListParagraph"/>
      </w:pPr>
      <w:r>
        <w:t xml:space="preserve">• the original historical series;</w:t>
      </w:r>
    </w:p>
    <w:p>
      <w:pPr>
        <w:pStyle w:val="ListParagraph"/>
      </w:pPr>
      <w:r>
        <w:t xml:space="preserve">• a recalculated series under the new version;</w:t>
      </w:r>
    </w:p>
    <w:p>
      <w:pPr>
        <w:pStyle w:val="ListParagraph"/>
      </w:pPr>
      <w:r>
        <w:t xml:space="preserve">• a bridge table showing differences;</w:t>
      </w:r>
    </w:p>
    <w:p>
      <w:pPr>
        <w:pStyle w:val="ListParagraph"/>
      </w:pPr>
      <w:r>
        <w:t xml:space="preserve">• the date the new series became official.</w:t>
      </w:r>
    </w:p>
    <w:p>
      <w:pPr>
        <w:pStyle w:val="Normal"/>
      </w:pPr>
      <w:r>
        <w:t xml:space="preserve">Users can therefore distinguish genuine economic change from model change.</w:t>
      </w:r>
    </w:p>
    <w:p>
      <w:pPr>
        <w:pStyle w:val="Heading2"/>
      </w:pPr>
      <w:r>
        <w:t xml:space="preserve">28.3 Audit levels</w:t>
      </w:r>
    </w:p>
    <w:p>
      <w:pPr>
        <w:pStyle w:val="Normal"/>
      </w:pPr>
      <w:r>
        <w:t xml:space="preserve">Audits occur at four levels:</w:t>
      </w:r>
    </w:p>
    <w:p>
      <w:pPr>
        <w:pStyle w:val="ListParagraph"/>
      </w:pPr>
      <w:r>
        <w:t xml:space="preserve">• Data audit — source provenance, completeness and reconciliation.</w:t>
      </w:r>
    </w:p>
    <w:p>
      <w:pPr>
        <w:pStyle w:val="ListParagraph"/>
      </w:pPr>
      <w:r>
        <w:t xml:space="preserve">• Code audit — adapter and calculation correctness.</w:t>
      </w:r>
    </w:p>
    <w:p>
      <w:pPr>
        <w:pStyle w:val="ListParagraph"/>
      </w:pPr>
      <w:r>
        <w:t xml:space="preserve">• Methodology audit — economic validity, correlation and sensitivity.</w:t>
      </w:r>
    </w:p>
    <w:p>
      <w:pPr>
        <w:pStyle w:val="ListParagraph"/>
      </w:pPr>
      <w:r>
        <w:t xml:space="preserve">• Economic-layer audit — smart contracts, issuance, markets, bridges and legal assumptions.</w:t>
      </w:r>
    </w:p>
    <w:p>
      <w:pPr>
        <w:pStyle w:val="Normal"/>
      </w:pPr>
      <w:r>
        <w:t xml:space="preserve">An audit must disclose scope and limitations. A code audit does not certify economic design, and an economic review does not prove implementation security.</w:t>
      </w:r>
    </w:p>
    <w:p>
      <w:pPr>
        <w:pStyle w:val="Heading2"/>
      </w:pPr>
      <w:r>
        <w:t xml:space="preserve">28.4 Dispute initiation</w:t>
      </w:r>
    </w:p>
    <w:p>
      <w:pPr>
        <w:pStyle w:val="Normal"/>
      </w:pPr>
      <w:r>
        <w:t xml:space="preserve">Any participant may open a dispute by identifying:</w:t>
      </w:r>
    </w:p>
    <w:p>
      <w:pPr>
        <w:pStyle w:val="ListParagraph"/>
      </w:pPr>
      <w:r>
        <w:t xml:space="preserve">• the affected result;</w:t>
      </w:r>
    </w:p>
    <w:p>
      <w:pPr>
        <w:pStyle w:val="ListParagraph"/>
      </w:pPr>
      <w:r>
        <w:t xml:space="preserve">• disputed observation or methodology;</w:t>
      </w:r>
    </w:p>
    <w:p>
      <w:pPr>
        <w:pStyle w:val="ListParagraph"/>
      </w:pPr>
      <w:r>
        <w:t xml:space="preserve">• reproducible evidence;</w:t>
      </w:r>
    </w:p>
    <w:p>
      <w:pPr>
        <w:pStyle w:val="ListParagraph"/>
      </w:pPr>
      <w:r>
        <w:t xml:space="preserve">• expected material effect;</w:t>
      </w:r>
    </w:p>
    <w:p>
      <w:pPr>
        <w:pStyle w:val="ListParagraph"/>
      </w:pPr>
      <w:r>
        <w:t xml:space="preserve">• conflict disclosures.</w:t>
      </w:r>
    </w:p>
    <w:p>
      <w:pPr>
        <w:pStyle w:val="Normal"/>
      </w:pPr>
      <w:r>
        <w:t xml:space="preserve">Spam deposits or reputation controls may be used, but valid public challenges must remain accessible.</w:t>
      </w:r>
    </w:p>
    <w:p>
      <w:pPr>
        <w:pStyle w:val="Heading2"/>
      </w:pPr>
      <w:r>
        <w:t xml:space="preserve">28.5 Dispute states</w:t>
      </w:r>
    </w:p>
    <w:p>
      <w:pPr>
        <w:pStyle w:val="Normal"/>
      </w:pPr>
      <w:r>
        <w:t xml:space="preserve">A dispute progresses through:</w:t>
      </w:r>
    </w:p>
    <w:p>
      <w:pPr>
        <w:pStyle w:val="ListParagraph"/>
      </w:pPr>
      <w:r>
        <w:t xml:space="preserve">• submitted;</w:t>
      </w:r>
    </w:p>
    <w:p>
      <w:pPr>
        <w:pStyle w:val="ListParagraph"/>
      </w:pPr>
      <w:r>
        <w:t xml:space="preserve">• triaged;</w:t>
      </w:r>
    </w:p>
    <w:p>
      <w:pPr>
        <w:pStyle w:val="ListParagraph"/>
      </w:pPr>
      <w:r>
        <w:t xml:space="preserve">• evidence collection;</w:t>
      </w:r>
    </w:p>
    <w:p>
      <w:pPr>
        <w:pStyle w:val="ListParagraph"/>
      </w:pPr>
      <w:r>
        <w:t xml:space="preserve">• independent replication;</w:t>
      </w:r>
    </w:p>
    <w:p>
      <w:pPr>
        <w:pStyle w:val="ListParagraph"/>
      </w:pPr>
      <w:r>
        <w:t xml:space="preserve">• proposed resolution;</w:t>
      </w:r>
    </w:p>
    <w:p>
      <w:pPr>
        <w:pStyle w:val="ListParagraph"/>
      </w:pPr>
      <w:r>
        <w:t xml:space="preserve">• governance decision;</w:t>
      </w:r>
    </w:p>
    <w:p>
      <w:pPr>
        <w:pStyle w:val="ListParagraph"/>
      </w:pPr>
      <w:r>
        <w:t xml:space="preserve">• implementation and post-mortem.</w:t>
      </w:r>
    </w:p>
    <w:p>
      <w:pPr>
        <w:pStyle w:val="Normal"/>
      </w:pPr>
      <w:r>
        <w:t xml:space="preserve">Material disputes are visible in VoxUI. The system does not silently fix a result while presenting it as unchanged.</w:t>
      </w:r>
    </w:p>
    <w:p>
      <w:pPr>
        <w:pStyle w:val="Heading2"/>
      </w:pPr>
      <w:r>
        <w:t xml:space="preserve">28.6 Correction classes</w:t>
      </w:r>
    </w:p>
    <w:p>
      <w:pPr>
        <w:pStyle w:val="Normal"/>
      </w:pPr>
      <w:r>
        <w:t xml:space="preserve">Corrections are classified as:</w:t>
      </w:r>
    </w:p>
    <w:p>
      <w:pPr>
        <w:pStyle w:val="ListParagraph"/>
      </w:pPr>
      <w:r>
        <w:t xml:space="preserve">• source correction — upstream observation changed;</w:t>
      </w:r>
    </w:p>
    <w:p>
      <w:pPr>
        <w:pStyle w:val="ListParagraph"/>
      </w:pPr>
      <w:r>
        <w:t xml:space="preserve">• adapter defect — extraction or transformation error;</w:t>
      </w:r>
    </w:p>
    <w:p>
      <w:pPr>
        <w:pStyle w:val="ListParagraph"/>
      </w:pPr>
      <w:r>
        <w:t xml:space="preserve">• methodology defect — intended model produces invalid behaviour;</w:t>
      </w:r>
    </w:p>
    <w:p>
      <w:pPr>
        <w:pStyle w:val="ListParagraph"/>
      </w:pPr>
      <w:r>
        <w:t xml:space="preserve">• scope correction — network or asset counted incorrectly;</w:t>
      </w:r>
    </w:p>
    <w:p>
      <w:pPr>
        <w:pStyle w:val="ListParagraph"/>
      </w:pPr>
      <w:r>
        <w:t xml:space="preserve">• label update — improved entity or application classification.</w:t>
      </w:r>
    </w:p>
    <w:p>
      <w:pPr>
        <w:pStyle w:val="Normal"/>
      </w:pPr>
      <w:r>
        <w:t xml:space="preserve">The correction class determines whether a patch, minor or major version is required.</w:t>
      </w:r>
    </w:p>
    <w:p>
      <w:pPr>
        <w:pStyle w:val="Heading1"/>
        <w:pageBreakBefore/>
      </w:pPr>
      <w:r>
        <w:t xml:space="preserve">29. VoxUI Transparency Layer</w:t>
      </w:r>
    </w:p>
    <w:p>
      <w:pPr>
        <w:pStyle w:val="Heading2"/>
      </w:pPr>
      <w:r>
        <w:t xml:space="preserve">29.1 Purpose</w:t>
      </w:r>
    </w:p>
    <w:p>
      <w:pPr>
        <w:pStyle w:val="Normal"/>
      </w:pPr>
      <w:r>
        <w:t xml:space="preserve">VoxUI is the public interface through which anyone can inspect, compare and reproduce Voxonomics outputs. It is not merely a ranking screen. It is an evidence and governance terminal.</w:t>
      </w:r>
    </w:p>
    <w:p>
      <w:pPr>
        <w:pStyle w:val="Heading2"/>
      </w:pPr>
      <w:r>
        <w:t xml:space="preserve">29.2 Network dashboard</w:t>
      </w:r>
    </w:p>
    <w:p>
      <w:pPr>
        <w:pStyle w:val="Normal"/>
      </w:pPr>
      <w:r>
        <w:t xml:space="preserve">Each network dashboard displays:</w:t>
      </w:r>
    </w:p>
    <w:p>
      <w:pPr>
        <w:pStyle w:val="ListParagraph"/>
      </w:pPr>
      <w:r>
        <w:t xml:space="preserve">• VTS and VTS_core;</w:t>
      </w:r>
    </w:p>
    <w:p>
      <w:pPr>
        <w:pStyle w:val="ListParagraph"/>
      </w:pPr>
      <w:r>
        <w:t xml:space="preserve">• ERU-relative history;</w:t>
      </w:r>
    </w:p>
    <w:p>
      <w:pPr>
        <w:pStyle w:val="ListParagraph"/>
      </w:pPr>
      <w:r>
        <w:t xml:space="preserve">• six parent-index radar and time series;</w:t>
      </w:r>
    </w:p>
    <w:p>
      <w:pPr>
        <w:pStyle w:val="ListParagraph"/>
      </w:pPr>
      <w:r>
        <w:t xml:space="preserve">• sub-index contribution waterfall;</w:t>
      </w:r>
    </w:p>
    <w:p>
      <w:pPr>
        <w:pStyle w:val="ListParagraph"/>
      </w:pPr>
      <w:r>
        <w:t xml:space="preserve">• VRI and Opportunity Gap;</w:t>
      </w:r>
    </w:p>
    <w:p>
      <w:pPr>
        <w:pStyle w:val="ListParagraph"/>
      </w:pPr>
      <w:r>
        <w:t xml:space="preserve">• VRS and domain breakdown;</w:t>
      </w:r>
    </w:p>
    <w:p>
      <w:pPr>
        <w:pStyle w:val="ListParagraph"/>
      </w:pPr>
      <w:r>
        <w:t xml:space="preserve">• VCS and evidence coverage;</w:t>
      </w:r>
    </w:p>
    <w:p>
      <w:pPr>
        <w:pStyle w:val="ListParagraph"/>
      </w:pPr>
      <w:r>
        <w:t xml:space="preserve">• data freshness and source status;</w:t>
      </w:r>
    </w:p>
    <w:p>
      <w:pPr>
        <w:pStyle w:val="ListParagraph"/>
      </w:pPr>
      <w:r>
        <w:t xml:space="preserve">• adapter and methodology versions;</w:t>
      </w:r>
    </w:p>
    <w:p>
      <w:pPr>
        <w:pStyle w:val="ListParagraph"/>
      </w:pPr>
      <w:r>
        <w:t xml:space="preserve">• open disputes and material events.</w:t>
      </w:r>
    </w:p>
    <w:p>
      <w:pPr>
        <w:pStyle w:val="Heading2"/>
      </w:pPr>
      <w:r>
        <w:t xml:space="preserve">29.3 Evidence explorer</w:t>
      </w:r>
    </w:p>
    <w:p>
      <w:pPr>
        <w:pStyle w:val="Normal"/>
      </w:pPr>
      <w:r>
        <w:t xml:space="preserve">Users can move from a headline score to:</w:t>
      </w:r>
    </w:p>
    <w:p>
      <w:pPr>
        <w:pStyle w:val="ListParagraph"/>
      </w:pPr>
      <w:r>
        <w:t xml:space="preserve">• parent index;</w:t>
      </w:r>
    </w:p>
    <w:p>
      <w:pPr>
        <w:pStyle w:val="ListParagraph"/>
      </w:pPr>
      <w:r>
        <w:t xml:space="preserve">• sub-index;</w:t>
      </w:r>
    </w:p>
    <w:p>
      <w:pPr>
        <w:pStyle w:val="ListParagraph"/>
      </w:pPr>
      <w:r>
        <w:t xml:space="preserve">• normalised score;</w:t>
      </w:r>
    </w:p>
    <w:p>
      <w:pPr>
        <w:pStyle w:val="ListParagraph"/>
      </w:pPr>
      <w:r>
        <w:t xml:space="preserve">• transformed observation;</w:t>
      </w:r>
    </w:p>
    <w:p>
      <w:pPr>
        <w:pStyle w:val="ListParagraph"/>
      </w:pPr>
      <w:r>
        <w:t xml:space="preserve">• raw source value;</w:t>
      </w:r>
    </w:p>
    <w:p>
      <w:pPr>
        <w:pStyle w:val="ListParagraph"/>
      </w:pPr>
      <w:r>
        <w:t xml:space="preserve">• extraction query or code;</w:t>
      </w:r>
    </w:p>
    <w:p>
      <w:pPr>
        <w:pStyle w:val="ListParagraph"/>
      </w:pPr>
      <w:r>
        <w:t xml:space="preserve">• source and block range.</w:t>
      </w:r>
    </w:p>
    <w:p>
      <w:pPr>
        <w:pStyle w:val="ListParagraph"/>
      </w:pPr>
      <w:r>
        <w:t xml:space="preserve">• preserved evidence package or verified replacement representation;</w:t>
      </w:r>
    </w:p>
    <w:p>
      <w:pPr>
        <w:pStyle w:val="ListParagraph"/>
      </w:pPr>
      <w:r>
        <w:t xml:space="preserve">• authoritative block, slot, transaction, log, account-state coordinate or external source range;</w:t>
      </w:r>
    </w:p>
    <w:p>
      <w:pPr>
        <w:pStyle w:val="ListParagraph"/>
      </w:pPr>
      <w:r>
        <w:t xml:space="preserve">• source/provider/endpoint, retrieval time, query or extraction method, and provenance continuity.</w:t>
      </w:r>
    </w:p>
    <w:p>
      <w:pPr>
        <w:pStyle w:val="Normal"/>
      </w:pPr>
      <w:r>
        <w:t xml:space="preserve">This drill-down is central to the framework’s claim of transparency.</w:t>
      </w:r>
    </w:p>
    <w:p>
      <w:pPr>
        <w:pStyle w:val="Heading2"/>
      </w:pPr>
      <w:r>
        <w:t xml:space="preserve">29.4 Comparative analysis</w:t>
      </w:r>
    </w:p>
    <w:p>
      <w:pPr>
        <w:pStyle w:val="Normal"/>
      </w:pPr>
      <w:r>
        <w:t xml:space="preserve">VoxUI supports:</w:t>
      </w:r>
    </w:p>
    <w:p>
      <w:pPr>
        <w:pStyle w:val="ListParagraph"/>
      </w:pPr>
      <w:r>
        <w:t xml:space="preserve">• side-by-side network comparison;</w:t>
      </w:r>
    </w:p>
    <w:p>
      <w:pPr>
        <w:pStyle w:val="ListParagraph"/>
      </w:pPr>
      <w:r>
        <w:t xml:space="preserve">• fixed-date and historical snapshots;</w:t>
      </w:r>
    </w:p>
    <w:p>
      <w:pPr>
        <w:pStyle w:val="ListParagraph"/>
      </w:pPr>
      <w:r>
        <w:t xml:space="preserve">• VTS versus VRI scatter plots;</w:t>
      </w:r>
    </w:p>
    <w:p>
      <w:pPr>
        <w:pStyle w:val="ListParagraph"/>
      </w:pPr>
      <w:r>
        <w:t xml:space="preserve">• Opportunity Gap rankings filtered by VCS and VRS;</w:t>
      </w:r>
    </w:p>
    <w:p>
      <w:pPr>
        <w:pStyle w:val="ListParagraph"/>
      </w:pPr>
      <w:r>
        <w:t xml:space="preserve">• ERU-relative performance;</w:t>
      </w:r>
    </w:p>
    <w:p>
      <w:pPr>
        <w:pStyle w:val="ListParagraph"/>
      </w:pPr>
      <w:r>
        <w:t xml:space="preserve">• architecture and ecosystem cohorts;</w:t>
      </w:r>
    </w:p>
    <w:p>
      <w:pPr>
        <w:pStyle w:val="ListParagraph"/>
      </w:pPr>
      <w:r>
        <w:t xml:space="preserve">• stress-event comparison;</w:t>
      </w:r>
    </w:p>
    <w:p>
      <w:pPr>
        <w:pStyle w:val="ListParagraph"/>
      </w:pPr>
      <w:r>
        <w:t xml:space="preserve">• correlation and sensitivity tools;</w:t>
      </w:r>
    </w:p>
    <w:p>
      <w:pPr>
        <w:pStyle w:val="ListParagraph"/>
      </w:pPr>
      <w:r>
        <w:t xml:space="preserve">• V-FOREX reference pair charts.</w:t>
      </w:r>
    </w:p>
    <w:p>
      <w:pPr>
        <w:pStyle w:val="Heading2"/>
      </w:pPr>
      <w:r>
        <w:t xml:space="preserve">29.5 Governance interface</w:t>
      </w:r>
    </w:p>
    <w:p>
      <w:pPr>
        <w:pStyle w:val="Normal"/>
      </w:pPr>
      <w:r>
        <w:t xml:space="preserve">The governance interface displays proposal text, code and configuration diffs, simulations, votes, delegates, conflicts, timelocks and execution state. Every activated change links to the methodology version it created.</w:t>
      </w:r>
    </w:p>
    <w:p>
      <w:pPr>
        <w:pStyle w:val="Heading2"/>
      </w:pPr>
      <w:r>
        <w:t xml:space="preserve">29.6 Public audit interface</w:t>
      </w:r>
    </w:p>
    <w:p>
      <w:pPr>
        <w:pStyle w:val="Normal"/>
      </w:pPr>
      <w:r>
        <w:t xml:space="preserve">The audit interface enables download of:</w:t>
      </w:r>
    </w:p>
    <w:p>
      <w:pPr>
        <w:pStyle w:val="ListParagraph"/>
      </w:pPr>
      <w:r>
        <w:t xml:space="preserve">• raw and transformed observations;</w:t>
      </w:r>
    </w:p>
    <w:p>
      <w:pPr>
        <w:pStyle w:val="ListParagraph"/>
      </w:pPr>
      <w:r>
        <w:t xml:space="preserve">• calculation manifests;</w:t>
      </w:r>
    </w:p>
    <w:p>
      <w:pPr>
        <w:pStyle w:val="ListParagraph"/>
      </w:pPr>
      <w:r>
        <w:t xml:space="preserve">• signed result snapshots;</w:t>
      </w:r>
    </w:p>
    <w:p>
      <w:pPr>
        <w:pStyle w:val="ListParagraph"/>
      </w:pPr>
      <w:r>
        <w:t xml:space="preserve">• adapter source and build hashes;</w:t>
      </w:r>
    </w:p>
    <w:p>
      <w:pPr>
        <w:pStyle w:val="ListParagraph"/>
      </w:pPr>
      <w:r>
        <w:t xml:space="preserve">• benchmark configuration;</w:t>
      </w:r>
    </w:p>
    <w:p>
      <w:pPr>
        <w:pStyle w:val="ListParagraph"/>
      </w:pPr>
      <w:r>
        <w:t xml:space="preserve">• historical versions;</w:t>
      </w:r>
    </w:p>
    <w:p>
      <w:pPr>
        <w:pStyle w:val="ListParagraph"/>
      </w:pPr>
      <w:r>
        <w:t xml:space="preserve">• dispute and correction records.</w:t>
      </w:r>
    </w:p>
    <w:p>
      <w:pPr>
        <w:pStyle w:val="Heading2"/>
      </w:pPr>
      <w:r>
        <w:t xml:space="preserve">29.7 Accessibility and clarity</w:t>
      </w:r>
    </w:p>
    <w:p>
      <w:pPr>
        <w:pStyle w:val="Normal"/>
      </w:pPr>
      <w:r>
        <w:t xml:space="preserve">VoxUI must avoid presenting complex outputs as unexplained scores. Every page provides plain-language interpretation, technical definitions and warnings. Colour is not the only carrier of meaning. Data tables and machine-readable downloads are available for accessibility and research.</w:t>
      </w:r>
    </w:p>
    <w:p>
      <w:pPr>
        <w:pStyle w:val="Heading1"/>
        <w:pageBreakBefore/>
      </w:pPr>
      <w:r>
        <w:t xml:space="preserve">30. Voxonomics API and Reproducibility Standard</w:t>
      </w:r>
    </w:p>
    <w:p>
      <w:pPr>
        <w:pStyle w:val="Heading2"/>
      </w:pPr>
      <w:r>
        <w:t xml:space="preserve">30.1 API principles</w:t>
      </w:r>
    </w:p>
    <w:p>
      <w:pPr>
        <w:pStyle w:val="Normal"/>
      </w:pPr>
      <w:r>
        <w:t xml:space="preserve">The Voxonomics API is:</w:t>
      </w:r>
    </w:p>
    <w:p>
      <w:pPr>
        <w:pStyle w:val="ListParagraph"/>
      </w:pPr>
      <w:r>
        <w:t xml:space="preserve">• public by default;</w:t>
      </w:r>
    </w:p>
    <w:p>
      <w:pPr>
        <w:pStyle w:val="ListParagraph"/>
      </w:pPr>
      <w:r>
        <w:t xml:space="preserve">• versioned;</w:t>
      </w:r>
    </w:p>
    <w:p>
      <w:pPr>
        <w:pStyle w:val="ListParagraph"/>
      </w:pPr>
      <w:r>
        <w:t xml:space="preserve">• deterministic for a fixed snapshot;</w:t>
      </w:r>
    </w:p>
    <w:p>
      <w:pPr>
        <w:pStyle w:val="ListParagraph"/>
      </w:pPr>
      <w:r>
        <w:t xml:space="preserve">• explicit about units, time and scope;</w:t>
      </w:r>
    </w:p>
    <w:p>
      <w:pPr>
        <w:pStyle w:val="ListParagraph"/>
      </w:pPr>
      <w:r>
        <w:t xml:space="preserve">• paginated and rate-limited fairly;</w:t>
      </w:r>
    </w:p>
    <w:p>
      <w:pPr>
        <w:pStyle w:val="ListParagraph"/>
      </w:pPr>
      <w:r>
        <w:t xml:space="preserve">• accompanied by bulk-download options;</w:t>
      </w:r>
    </w:p>
    <w:p>
      <w:pPr>
        <w:pStyle w:val="ListParagraph"/>
      </w:pPr>
      <w:r>
        <w:t xml:space="preserve">• independent of proprietary client software.</w:t>
      </w:r>
    </w:p>
    <w:p>
      <w:pPr>
        <w:pStyle w:val="Heading2"/>
      </w:pPr>
      <w:r>
        <w:t xml:space="preserve">30.2 Core endpoint families</w:t>
      </w:r>
    </w:p>
    <w:p>
      <w:pPr>
        <w:pStyle w:val="Normal"/>
      </w:pPr>
      <w:r>
        <w:t xml:space="preserve">Illustrative endpoint families include:</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Endpoint</w:t>
            </w:r>
          </w:p>
        </w:tc>
        <w:tc>
          <w:tcPr>
            <w:tcW w:w="4550" w:type="dxa"/>
          </w:tcPr>
          <w:p>
            <w:pPr>
              <w:pStyle w:val="TableHeader"/>
            </w:pPr>
            <w:r>
              <w:t xml:space="preserve">Purpose</w:t>
            </w:r>
          </w:p>
        </w:tc>
      </w:tr>
      <w:tr>
        <w:trPr>
          <w:cantSplit/>
        </w:trPr>
        <w:tc>
          <w:tcPr>
            <w:tcW w:w="4550" w:type="dxa"/>
          </w:tcPr>
          <w:p>
            <w:pPr>
              <w:pStyle w:val="TableText"/>
            </w:pPr>
            <w:r>
              <w:t xml:space="preserve">/v1/networks</w:t>
            </w:r>
          </w:p>
        </w:tc>
        <w:tc>
          <w:tcPr>
            <w:tcW w:w="4550" w:type="dxa"/>
          </w:tcPr>
          <w:p>
            <w:pPr>
              <w:pStyle w:val="TableText"/>
            </w:pPr>
            <w:r>
              <w:t xml:space="preserve">Canonical network registry and scope</w:t>
            </w:r>
          </w:p>
        </w:tc>
      </w:tr>
      <w:tr>
        <w:trPr>
          <w:cantSplit/>
        </w:trPr>
        <w:tc>
          <w:tcPr>
            <w:tcW w:w="4550" w:type="dxa"/>
          </w:tcPr>
          <w:p>
            <w:pPr>
              <w:pStyle w:val="TableText"/>
            </w:pPr>
            <w:r>
              <w:t xml:space="preserve">/v1/scores/{network}</w:t>
            </w:r>
          </w:p>
        </w:tc>
        <w:tc>
          <w:tcPr>
            <w:tcW w:w="4550" w:type="dxa"/>
          </w:tcPr>
          <w:p>
            <w:pPr>
              <w:pStyle w:val="TableText"/>
            </w:pPr>
            <w:r>
              <w:t xml:space="preserve">Current VTS, VRI, Gap, VRS and VCS</w:t>
            </w:r>
          </w:p>
        </w:tc>
      </w:tr>
      <w:tr>
        <w:trPr>
          <w:cantSplit/>
        </w:trPr>
        <w:tc>
          <w:tcPr>
            <w:tcW w:w="4550" w:type="dxa"/>
          </w:tcPr>
          <w:p>
            <w:pPr>
              <w:pStyle w:val="TableText"/>
            </w:pPr>
            <w:r>
              <w:t xml:space="preserve">/v1/indices/{network}/{index}</w:t>
            </w:r>
          </w:p>
        </w:tc>
        <w:tc>
          <w:tcPr>
            <w:tcW w:w="4550" w:type="dxa"/>
          </w:tcPr>
          <w:p>
            <w:pPr>
              <w:pStyle w:val="TableText"/>
            </w:pPr>
            <w:r>
              <w:t xml:space="preserve">Parent and sub-index detail</w:t>
            </w:r>
          </w:p>
        </w:tc>
      </w:tr>
      <w:tr>
        <w:trPr>
          <w:cantSplit/>
        </w:trPr>
        <w:tc>
          <w:tcPr>
            <w:tcW w:w="4550" w:type="dxa"/>
          </w:tcPr>
          <w:p>
            <w:pPr>
              <w:pStyle w:val="TableText"/>
            </w:pPr>
            <w:r>
              <w:t xml:space="preserve">/v1/history/{network}</w:t>
            </w:r>
          </w:p>
        </w:tc>
        <w:tc>
          <w:tcPr>
            <w:tcW w:w="4550" w:type="dxa"/>
          </w:tcPr>
          <w:p>
            <w:pPr>
              <w:pStyle w:val="TableText"/>
            </w:pPr>
            <w:r>
              <w:t xml:space="preserve">Versioned historical series</w:t>
            </w:r>
          </w:p>
        </w:tc>
      </w:tr>
      <w:tr>
        <w:trPr>
          <w:cantSplit/>
        </w:trPr>
        <w:tc>
          <w:tcPr>
            <w:tcW w:w="4550" w:type="dxa"/>
          </w:tcPr>
          <w:p>
            <w:pPr>
              <w:pStyle w:val="TableText"/>
            </w:pPr>
            <w:r>
              <w:t xml:space="preserve">/v1/observations/{network}/{metric}</w:t>
            </w:r>
          </w:p>
        </w:tc>
        <w:tc>
          <w:tcPr>
            <w:tcW w:w="4550" w:type="dxa"/>
          </w:tcPr>
          <w:p>
            <w:pPr>
              <w:pStyle w:val="TableText"/>
            </w:pPr>
            <w:r>
              <w:t xml:space="preserve">Raw and transformed evidence</w:t>
            </w:r>
          </w:p>
        </w:tc>
      </w:tr>
      <w:tr>
        <w:trPr>
          <w:cantSplit/>
        </w:trPr>
        <w:tc>
          <w:tcPr>
            <w:tcW w:w="4550" w:type="dxa"/>
          </w:tcPr>
          <w:p>
            <w:pPr>
              <w:pStyle w:val="TableText"/>
            </w:pPr>
            <w:r>
              <w:t xml:space="preserve">/v1/eru</w:t>
            </w:r>
          </w:p>
        </w:tc>
        <w:tc>
          <w:tcPr>
            <w:tcW w:w="4550" w:type="dxa"/>
          </w:tcPr>
          <w:p>
            <w:pPr>
              <w:pStyle w:val="TableText"/>
            </w:pPr>
            <w:r>
              <w:t xml:space="preserve">Current and historical ERU benchmark</w:t>
            </w:r>
          </w:p>
        </w:tc>
      </w:tr>
      <w:tr>
        <w:trPr>
          <w:cantSplit/>
        </w:trPr>
        <w:tc>
          <w:tcPr>
            <w:tcW w:w="4550" w:type="dxa"/>
          </w:tcPr>
          <w:p>
            <w:pPr>
              <w:pStyle w:val="TableText"/>
            </w:pPr>
            <w:r>
              <w:t xml:space="preserve">/v1/vforex/{base}/{quote}</w:t>
            </w:r>
          </w:p>
        </w:tc>
        <w:tc>
          <w:tcPr>
            <w:tcW w:w="4550" w:type="dxa"/>
          </w:tcPr>
          <w:p>
            <w:pPr>
              <w:pStyle w:val="TableText"/>
            </w:pPr>
            <w:r>
              <w:t xml:space="preserve">Reference pair and confidence</w:t>
            </w:r>
          </w:p>
        </w:tc>
      </w:tr>
      <w:tr>
        <w:trPr>
          <w:cantSplit/>
        </w:trPr>
        <w:tc>
          <w:tcPr>
            <w:tcW w:w="4550" w:type="dxa"/>
          </w:tcPr>
          <w:p>
            <w:pPr>
              <w:pStyle w:val="TableText"/>
            </w:pPr>
            <w:r>
              <w:t xml:space="preserve">/v1/adapters</w:t>
            </w:r>
          </w:p>
        </w:tc>
        <w:tc>
          <w:tcPr>
            <w:tcW w:w="4550" w:type="dxa"/>
          </w:tcPr>
          <w:p>
            <w:pPr>
              <w:pStyle w:val="TableText"/>
            </w:pPr>
            <w:r>
              <w:t xml:space="preserve">Adapter versions, certification and source</w:t>
            </w:r>
          </w:p>
        </w:tc>
      </w:tr>
      <w:tr>
        <w:trPr>
          <w:cantSplit/>
        </w:trPr>
        <w:tc>
          <w:tcPr>
            <w:tcW w:w="4550" w:type="dxa"/>
          </w:tcPr>
          <w:p>
            <w:pPr>
              <w:pStyle w:val="TableText"/>
            </w:pPr>
            <w:r>
              <w:t xml:space="preserve">/v1/methodology</w:t>
            </w:r>
          </w:p>
        </w:tc>
        <w:tc>
          <w:tcPr>
            <w:tcW w:w="4550" w:type="dxa"/>
          </w:tcPr>
          <w:p>
            <w:pPr>
              <w:pStyle w:val="TableText"/>
            </w:pPr>
            <w:r>
              <w:t xml:space="preserve">Metric registry and benchmark configuration</w:t>
            </w:r>
          </w:p>
        </w:tc>
      </w:tr>
      <w:tr>
        <w:trPr>
          <w:cantSplit/>
        </w:trPr>
        <w:tc>
          <w:tcPr>
            <w:tcW w:w="4550" w:type="dxa"/>
          </w:tcPr>
          <w:p>
            <w:pPr>
              <w:pStyle w:val="TableText"/>
            </w:pPr>
            <w:r>
              <w:t xml:space="preserve">/v1/governance</w:t>
            </w:r>
          </w:p>
        </w:tc>
        <w:tc>
          <w:tcPr>
            <w:tcW w:w="4550" w:type="dxa"/>
          </w:tcPr>
          <w:p>
            <w:pPr>
              <w:pStyle w:val="TableText"/>
            </w:pPr>
            <w:r>
              <w:t xml:space="preserve">Proposals, decisions and version changes</w:t>
            </w:r>
          </w:p>
        </w:tc>
      </w:tr>
      <w:tr>
        <w:trPr>
          <w:cantSplit/>
        </w:trPr>
        <w:tc>
          <w:tcPr>
            <w:tcW w:w="4550" w:type="dxa"/>
          </w:tcPr>
          <w:p>
            <w:pPr>
              <w:pStyle w:val="TableText"/>
            </w:pPr>
            <w:r>
              <w:t xml:space="preserve">/v1/disputes</w:t>
            </w:r>
          </w:p>
        </w:tc>
        <w:tc>
          <w:tcPr>
            <w:tcW w:w="4550" w:type="dxa"/>
          </w:tcPr>
          <w:p>
            <w:pPr>
              <w:pStyle w:val="TableText"/>
            </w:pPr>
            <w:r>
              <w:t xml:space="preserve">Open and resolved disputes</w:t>
            </w:r>
          </w:p>
        </w:tc>
      </w:tr>
    </w:tbl>
    <w:p>
      <w:pPr>
        <w:pStyle w:val="Heading2"/>
      </w:pPr>
      <w:r>
        <w:t xml:space="preserve">30.3 Score response</w:t>
      </w:r>
    </w:p>
    <w:p>
      <w:pPr>
        <w:pStyle w:val="Normal"/>
      </w:pPr>
      <w:r>
        <w:t xml:space="preserve">A score response includes, at minimum:</w:t>
      </w:r>
    </w:p>
    <w:p>
      <w:pPr>
        <w:pStyle w:val="Normal"/>
      </w:pPr>
      <w:r>
        <w:t xml:space="preserve">{</w:t>
      </w:r>
      <w:r>
        <w:br/>
      </w:r>
      <w:r>
        <w:t xml:space="preserve">  "network_id": "example-chain",</w:t>
      </w:r>
      <w:r>
        <w:br/>
      </w:r>
      <w:r>
        <w:t xml:space="preserve">  "as_of": "2026-07-12T00:00:00Z",</w:t>
      </w:r>
      <w:r>
        <w:br/>
      </w:r>
      <w:r>
        <w:t xml:space="preserve">  "framework_version": "3.1.0",</w:t>
      </w:r>
      <w:r>
        <w:br/>
      </w:r>
      <w:r>
        <w:t xml:space="preserve">  "adapter_version": "1.2.0",</w:t>
      </w:r>
      <w:r>
        <w:br/>
      </w:r>
      <w:r>
        <w:t xml:space="preserve">  "vts_core": 0.6842,</w:t>
      </w:r>
      <w:r>
        <w:br/>
      </w:r>
      <w:r>
        <w:t xml:space="preserve">  "eru_core": 0.6250,</w:t>
      </w:r>
      <w:r>
        <w:br/>
      </w:r>
      <w:r>
        <w:t xml:space="preserve">  "vts": 1.09472,</w:t>
      </w:r>
      <w:r>
        <w:br/>
      </w:r>
      <w:r>
        <w:t xml:space="preserve">  "indices": {</w:t>
      </w:r>
      <w:r>
        <w:br/>
      </w:r>
      <w:r>
        <w:t xml:space="preserve">    "pov": 72.0,</w:t>
      </w:r>
      <w:r>
        <w:br/>
      </w:r>
      <w:r>
        <w:t xml:space="preserve">    "opi": 64.0,</w:t>
      </w:r>
      <w:r>
        <w:br/>
      </w:r>
      <w:r>
        <w:t xml:space="preserve">    "dli": 70.0,</w:t>
      </w:r>
      <w:r>
        <w:br/>
      </w:r>
      <w:r>
        <w:t xml:space="preserve">    "pii": 75.0,</w:t>
      </w:r>
      <w:r>
        <w:br/>
      </w:r>
      <w:r>
        <w:t xml:space="preserve">    "rwai": 55.0,</w:t>
      </w:r>
      <w:r>
        <w:br/>
      </w:r>
      <w:r>
        <w:t xml:space="preserve">    "eri": 74.5</w:t>
      </w:r>
      <w:r>
        <w:br/>
      </w:r>
      <w:r>
        <w:t xml:space="preserve">  },</w:t>
      </w:r>
      <w:r>
        <w:br/>
      </w:r>
      <w:r>
        <w:t xml:space="preserve">  "vri": 0.91,</w:t>
      </w:r>
      <w:r>
        <w:br/>
      </w:r>
      <w:r>
        <w:t xml:space="preserve">  "opportunity_gap": 0.18472,</w:t>
      </w:r>
      <w:r>
        <w:br/>
      </w:r>
      <w:r>
        <w:t xml:space="preserve">  "vrs": 38,</w:t>
      </w:r>
      <w:r>
        <w:br/>
      </w:r>
      <w:r>
        <w:t xml:space="preserve">  "vcs": 87,</w:t>
      </w:r>
      <w:r>
        <w:br/>
      </w:r>
      <w:r>
        <w:t xml:space="preserve">  "status": "high-confidence",</w:t>
      </w:r>
      <w:r>
        <w:br/>
      </w:r>
      <w:r>
        <w:t xml:space="preserve">  "calculation_hash": "..."</w:t>
      </w:r>
      <w:r>
        <w:br/>
      </w:r>
      <w:r>
        <w:t xml:space="preserve">}</w:t>
      </w:r>
    </w:p>
    <w:p>
      <w:pPr>
        <w:pStyle w:val="Heading2"/>
      </w:pPr>
      <w:r>
        <w:t xml:space="preserve">30.4 Snapshot reproducibility</w:t>
      </w:r>
    </w:p>
    <w:p>
      <w:pPr>
        <w:pStyle w:val="Normal"/>
      </w:pPr>
      <w:r>
        <w:t xml:space="preserve">Every official publication produces a snapshot manifest containing:</w:t>
      </w:r>
    </w:p>
    <w:p>
      <w:pPr>
        <w:pStyle w:val="ListParagraph"/>
      </w:pPr>
      <w:r>
        <w:t xml:space="preserve">• source observation hashes;</w:t>
      </w:r>
    </w:p>
    <w:p>
      <w:pPr>
        <w:pStyle w:val="ListParagraph"/>
      </w:pPr>
      <w:r>
        <w:t xml:space="preserve">• adapter commit hashes;</w:t>
      </w:r>
    </w:p>
    <w:p>
      <w:pPr>
        <w:pStyle w:val="ListParagraph"/>
      </w:pPr>
      <w:r>
        <w:t xml:space="preserve">• container or build image digest;</w:t>
      </w:r>
    </w:p>
    <w:p>
      <w:pPr>
        <w:pStyle w:val="ListParagraph"/>
      </w:pPr>
      <w:r>
        <w:t xml:space="preserve">• metric registry and benchmark files;</w:t>
      </w:r>
    </w:p>
    <w:p>
      <w:pPr>
        <w:pStyle w:val="ListParagraph"/>
      </w:pPr>
      <w:r>
        <w:t xml:space="preserve">• calculation output hash;</w:t>
      </w:r>
    </w:p>
    <w:p>
      <w:pPr>
        <w:pStyle w:val="ListParagraph"/>
      </w:pPr>
      <w:r>
        <w:t xml:space="preserve">• signature set;</w:t>
      </w:r>
    </w:p>
    <w:p>
      <w:pPr>
        <w:pStyle w:val="ListParagraph"/>
      </w:pPr>
      <w:r>
        <w:t xml:space="preserve">• timestamp and chain publication reference where applicable.</w:t>
      </w:r>
    </w:p>
    <w:p>
      <w:pPr>
        <w:pStyle w:val="Normal"/>
      </w:pPr>
      <w:r>
        <w:t xml:space="preserve">A third party should be able to recreate the same result from the same snapshot.</w:t>
      </w:r>
    </w:p>
    <w:p>
      <w:pPr>
        <w:pStyle w:val="Normal"/>
      </w:pPr>
      <w:r>
        <w:t xml:space="preserve">Snapshot hashes and manifests authenticate identity and integrity; they do not substitute for the evidence bytes needed to reproduce a calculation. Where Edition 3.1 §4.4 requires independent reproduction, the snapshot must identify evidence that remains obtainable or preserved in a representation sufficient to re-derive the observation and measurement. Digest-only verification is not evidence reproduction.</w:t>
      </w:r>
    </w:p>
    <w:p>
      <w:pPr>
        <w:pStyle w:val="Heading2"/>
      </w:pPr>
      <w:r>
        <w:t xml:space="preserve">30.5 Authentication and private services</w:t>
      </w:r>
    </w:p>
    <w:p>
      <w:pPr>
        <w:pStyle w:val="Normal"/>
      </w:pPr>
      <w:r>
        <w:t xml:space="preserve">Public score and methodology endpoints do not require privileged access beyond reasonable abuse controls. Premium services may provide higher throughput, specialist analytics or compute, but the foundational data and calculation must remain publicly reproducible.</w:t>
      </w:r>
    </w:p>
    <w:p>
      <w:pPr>
        <w:pStyle w:val="Heading2"/>
      </w:pPr>
      <w:r>
        <w:t xml:space="preserve">30.6 Data licensing</w:t>
      </w:r>
    </w:p>
    <w:p>
      <w:pPr>
        <w:pStyle w:val="Normal"/>
      </w:pPr>
      <w:r>
        <w:t xml:space="preserve">The DAO records source licences and redistribution rights. A source that prohibits public verification cannot become the sole basis for a constitutional metric. Where redistribution is restricted, the framework publishes sufficient query and transformation logic for authorised users to reproduce the value.</w:t>
      </w:r>
    </w:p>
    <w:p>
      <w:pPr>
        <w:pStyle w:val="Heading2"/>
      </w:pPr>
      <w:r>
        <w:t xml:space="preserve">30.7 Signed publication</w:t>
      </w:r>
    </w:p>
    <w:p>
      <w:pPr>
        <w:pStyle w:val="Normal"/>
      </w:pPr>
      <w:r>
        <w:t xml:space="preserve">Official calculation nodes sign result manifests. Multiple independent publishers can produce the same result. Signatures establish provenance, not correctness; correctness remains verifiable from the data and code.</w:t>
      </w:r>
    </w:p>
    <w:p>
      <w:pPr>
        <w:pStyle w:val="Normal"/>
      </w:pPr>
      <w:r>
        <w:t xml:space="preserve">Part VII — Validation, Security and Limitations</w:t>
      </w:r>
    </w:p>
    <w:p>
      <w:pPr>
        <w:pStyle w:val="Heading1"/>
        <w:pageBreakBefore/>
      </w:pPr>
      <w:r>
        <w:t xml:space="preserve">31. Validation Framework</w:t>
      </w:r>
    </w:p>
    <w:p>
      <w:pPr>
        <w:pStyle w:val="Heading2"/>
      </w:pPr>
      <w:r>
        <w:t xml:space="preserve">31.1 Validation objectives</w:t>
      </w:r>
    </w:p>
    <w:p>
      <w:pPr>
        <w:pStyle w:val="Normal"/>
      </w:pPr>
      <w:r>
        <w:t xml:space="preserve">A measurement model is credible only when it is tested against explicit objectives. Voxonomics validation asks whether the framework is:</w:t>
      </w:r>
    </w:p>
    <w:p>
      <w:pPr>
        <w:pStyle w:val="ListParagraph"/>
      </w:pPr>
      <w:r>
        <w:t xml:space="preserve">• reproducible — independent implementations produce the same result;</w:t>
      </w:r>
    </w:p>
    <w:p>
      <w:pPr>
        <w:pStyle w:val="ListParagraph"/>
      </w:pPr>
      <w:r>
        <w:t xml:space="preserve">• construct-valid — each metric measures the economic concept it claims to measure;</w:t>
      </w:r>
    </w:p>
    <w:p>
      <w:pPr>
        <w:pStyle w:val="ListParagraph"/>
      </w:pPr>
      <w:r>
        <w:t xml:space="preserve">• comparable — architecture differences do not create systematic unfairness;</w:t>
      </w:r>
    </w:p>
    <w:p>
      <w:pPr>
        <w:pStyle w:val="ListParagraph"/>
      </w:pPr>
      <w:r>
        <w:t xml:space="preserve">• stable — small input changes do not create unreasonable output changes;</w:t>
      </w:r>
    </w:p>
    <w:p>
      <w:pPr>
        <w:pStyle w:val="ListParagraph"/>
      </w:pPr>
      <w:r>
        <w:t xml:space="preserve">• responsive — material economic changes appear within an appropriate time;</w:t>
      </w:r>
    </w:p>
    <w:p>
      <w:pPr>
        <w:pStyle w:val="ListParagraph"/>
      </w:pPr>
      <w:r>
        <w:t xml:space="preserve">• predictively informative — scores have useful relationships with future network outcomes without being presented as guarantees;</w:t>
      </w:r>
    </w:p>
    <w:p>
      <w:pPr>
        <w:pStyle w:val="ListParagraph"/>
      </w:pPr>
      <w:r>
        <w:t xml:space="preserve">• manipulation-resistant — the cost of gaming exceeds plausible benefit;</w:t>
      </w:r>
    </w:p>
    <w:p>
      <w:pPr>
        <w:pStyle w:val="ListParagraph"/>
      </w:pPr>
      <w:r>
        <w:t xml:space="preserve">• interpretable — users can understand why a score changed.</w:t>
      </w:r>
    </w:p>
    <w:p>
      <w:pPr>
        <w:pStyle w:val="Heading2"/>
      </w:pPr>
      <w:r>
        <w:t xml:space="preserve">31.2 Unit and integration testing</w:t>
      </w:r>
    </w:p>
    <w:p>
      <w:pPr>
        <w:pStyle w:val="Normal"/>
      </w:pPr>
      <w:r>
        <w:t xml:space="preserve">Every adapter and calculation module includes:</w:t>
      </w:r>
    </w:p>
    <w:p>
      <w:pPr>
        <w:pStyle w:val="ListParagraph"/>
      </w:pPr>
      <w:r>
        <w:t xml:space="preserve">• deterministic unit tests;</w:t>
      </w:r>
    </w:p>
    <w:p>
      <w:pPr>
        <w:pStyle w:val="ListParagraph"/>
      </w:pPr>
      <w:r>
        <w:t xml:space="preserve">• boundary and decimal tests;</w:t>
      </w:r>
    </w:p>
    <w:p>
      <w:pPr>
        <w:pStyle w:val="ListParagraph"/>
      </w:pPr>
      <w:r>
        <w:t xml:space="preserve">• missing-data tests;</w:t>
      </w:r>
    </w:p>
    <w:p>
      <w:pPr>
        <w:pStyle w:val="ListParagraph"/>
      </w:pPr>
      <w:r>
        <w:t xml:space="preserve">• chain-reorganisation tests;</w:t>
      </w:r>
    </w:p>
    <w:p>
      <w:pPr>
        <w:pStyle w:val="ListParagraph"/>
      </w:pPr>
      <w:r>
        <w:t xml:space="preserve">• source-failure and fallback tests;</w:t>
      </w:r>
    </w:p>
    <w:p>
      <w:pPr>
        <w:pStyle w:val="ListParagraph"/>
      </w:pPr>
      <w:r>
        <w:t xml:space="preserve">• known-block fixtures;</w:t>
      </w:r>
    </w:p>
    <w:p>
      <w:pPr>
        <w:pStyle w:val="ListParagraph"/>
      </w:pPr>
      <w:r>
        <w:t xml:space="preserve">• integration tests against historical snapshots;</w:t>
      </w:r>
    </w:p>
    <w:p>
      <w:pPr>
        <w:pStyle w:val="ListParagraph"/>
      </w:pPr>
      <w:r>
        <w:t xml:space="preserve">• regression tests for previously corrected defects.</w:t>
      </w:r>
    </w:p>
    <w:p>
      <w:pPr>
        <w:pStyle w:val="Normal"/>
      </w:pPr>
      <w:r>
        <w:t xml:space="preserve">Test results are public and tied to adapter certification.</w:t>
      </w:r>
    </w:p>
    <w:p>
      <w:pPr>
        <w:pStyle w:val="Heading2"/>
      </w:pPr>
      <w:r>
        <w:t xml:space="preserve">31.3 Construct validation</w:t>
      </w:r>
    </w:p>
    <w:p>
      <w:pPr>
        <w:pStyle w:val="Normal"/>
      </w:pPr>
      <w:r>
        <w:t xml:space="preserve">Construct validation evaluates whether submetrics align with their intended economic property. Methods include:</w:t>
      </w:r>
    </w:p>
    <w:p>
      <w:pPr>
        <w:pStyle w:val="ListParagraph"/>
      </w:pPr>
      <w:r>
        <w:t xml:space="preserve">• expert review across economics, protocol engineering and market structure;</w:t>
      </w:r>
    </w:p>
    <w:p>
      <w:pPr>
        <w:pStyle w:val="ListParagraph"/>
      </w:pPr>
      <w:r>
        <w:t xml:space="preserve">• comparison with alternative measurements;</w:t>
      </w:r>
    </w:p>
    <w:p>
      <w:pPr>
        <w:pStyle w:val="ListParagraph"/>
      </w:pPr>
      <w:r>
        <w:t xml:space="preserve">• event studies around known upgrades, outages, exploits and adoption changes;</w:t>
      </w:r>
    </w:p>
    <w:p>
      <w:pPr>
        <w:pStyle w:val="ListParagraph"/>
      </w:pPr>
      <w:r>
        <w:t xml:space="preserve">• correlation analysis within and across parent indices;</w:t>
      </w:r>
    </w:p>
    <w:p>
      <w:pPr>
        <w:pStyle w:val="ListParagraph"/>
      </w:pPr>
      <w:r>
        <w:t xml:space="preserve">• examination of counterexamples;</w:t>
      </w:r>
    </w:p>
    <w:p>
      <w:pPr>
        <w:pStyle w:val="ListParagraph"/>
      </w:pPr>
      <w:r>
        <w:t xml:space="preserve">• removal tests to identify redundant or dominant variables.</w:t>
      </w:r>
    </w:p>
    <w:p>
      <w:pPr>
        <w:pStyle w:val="Normal"/>
      </w:pPr>
      <w:r>
        <w:t xml:space="preserve">A metric is not retained merely because it is easy to obtain.</w:t>
      </w:r>
    </w:p>
    <w:p>
      <w:pPr>
        <w:pStyle w:val="Heading2"/>
      </w:pPr>
      <w:r>
        <w:t xml:space="preserve">31.4 Cross-sectional validation</w:t>
      </w:r>
    </w:p>
    <w:p>
      <w:pPr>
        <w:pStyle w:val="Normal"/>
      </w:pPr>
      <w:r>
        <w:t xml:space="preserve">Cross-sectional tests compare networks at the same date. The objective is not to reproduce market capitalisation rankings. Instead, analysts test whether the framework produces plausible distinctions based on observed economic characteristics and whether architecture groups receive systematic advantage unrelated to performance.</w:t>
      </w:r>
    </w:p>
    <w:p>
      <w:pPr>
        <w:pStyle w:val="Normal"/>
      </w:pPr>
      <w:r>
        <w:t xml:space="preserve">Results are evaluated using:</w:t>
      </w:r>
    </w:p>
    <w:p>
      <w:pPr>
        <w:pStyle w:val="ListParagraph"/>
      </w:pPr>
      <w:r>
        <w:t xml:space="preserve">• rank stability;</w:t>
      </w:r>
    </w:p>
    <w:p>
      <w:pPr>
        <w:pStyle w:val="ListParagraph"/>
      </w:pPr>
      <w:r>
        <w:t xml:space="preserve">• distribution of parent indices;</w:t>
      </w:r>
    </w:p>
    <w:p>
      <w:pPr>
        <w:pStyle w:val="ListParagraph"/>
      </w:pPr>
      <w:r>
        <w:t xml:space="preserve">• architecture-conditioned residuals;</w:t>
      </w:r>
    </w:p>
    <w:p>
      <w:pPr>
        <w:pStyle w:val="ListParagraph"/>
      </w:pPr>
      <w:r>
        <w:t xml:space="preserve">• concentration of scores near boundaries;</w:t>
      </w:r>
    </w:p>
    <w:p>
      <w:pPr>
        <w:pStyle w:val="ListParagraph"/>
      </w:pPr>
      <w:r>
        <w:t xml:space="preserve">• sensitivity to benchmark membership;</w:t>
      </w:r>
    </w:p>
    <w:p>
      <w:pPr>
        <w:pStyle w:val="ListParagraph"/>
      </w:pPr>
      <w:r>
        <w:t xml:space="preserve">• explanatory contribution of each parent index.</w:t>
      </w:r>
    </w:p>
    <w:p>
      <w:pPr>
        <w:pStyle w:val="Heading2"/>
      </w:pPr>
      <w:r>
        <w:t xml:space="preserve">31.5 Time-series validation</w:t>
      </w:r>
    </w:p>
    <w:p>
      <w:pPr>
        <w:pStyle w:val="Normal"/>
      </w:pPr>
      <w:r>
        <w:t xml:space="preserve">Time-series validation examines whether scores respond appropriately to:</w:t>
      </w:r>
    </w:p>
    <w:p>
      <w:pPr>
        <w:pStyle w:val="ListParagraph"/>
      </w:pPr>
      <w:r>
        <w:t xml:space="preserve">• sustained increases in usage and revenue;</w:t>
      </w:r>
    </w:p>
    <w:p>
      <w:pPr>
        <w:pStyle w:val="ListParagraph"/>
      </w:pPr>
      <w:r>
        <w:t xml:space="preserve">• declining participation;</w:t>
      </w:r>
    </w:p>
    <w:p>
      <w:pPr>
        <w:pStyle w:val="ListParagraph"/>
      </w:pPr>
      <w:r>
        <w:t xml:space="preserve">• security incidents and outages;</w:t>
      </w:r>
    </w:p>
    <w:p>
      <w:pPr>
        <w:pStyle w:val="ListParagraph"/>
      </w:pPr>
      <w:r>
        <w:t xml:space="preserve">• liquidity shocks;</w:t>
      </w:r>
    </w:p>
    <w:p>
      <w:pPr>
        <w:pStyle w:val="ListParagraph"/>
      </w:pPr>
      <w:r>
        <w:t xml:space="preserve">• stablecoin or bridge failures;</w:t>
      </w:r>
    </w:p>
    <w:p>
      <w:pPr>
        <w:pStyle w:val="ListParagraph"/>
      </w:pPr>
      <w:r>
        <w:t xml:space="preserve">• major real-world adoption;</w:t>
      </w:r>
    </w:p>
    <w:p>
      <w:pPr>
        <w:pStyle w:val="ListParagraph"/>
      </w:pPr>
      <w:r>
        <w:t xml:space="preserve">• prolonged bear markets and recovery.</w:t>
      </w:r>
    </w:p>
    <w:p>
      <w:pPr>
        <w:pStyle w:val="Normal"/>
      </w:pPr>
      <w:r>
        <w:t xml:space="preserve">The model should not react violently to ordinary noise, but it should not smooth away structural deterioration.</w:t>
      </w:r>
    </w:p>
    <w:p>
      <w:pPr>
        <w:pStyle w:val="Heading2"/>
      </w:pPr>
      <w:r>
        <w:t xml:space="preserve">31.6 Event studies</w:t>
      </w:r>
    </w:p>
    <w:p>
      <w:pPr>
        <w:pStyle w:val="Normal"/>
      </w:pPr>
      <w:r>
        <w:t xml:space="preserve">For each qualifying event, researchers define pre-event, event and post-event windows. They examine the affected submetrics, PII, ERI, VRS, VCS and headline VTS. Expected direction is documented before analysis where possible.</w:t>
      </w:r>
    </w:p>
    <w:p>
      <w:pPr>
        <w:pStyle w:val="Normal"/>
      </w:pPr>
      <w:r>
        <w:t xml:space="preserve">A model defect is suspected when:</w:t>
      </w:r>
    </w:p>
    <w:p>
      <w:pPr>
        <w:pStyle w:val="ListParagraph"/>
      </w:pPr>
      <w:r>
        <w:t xml:space="preserve">• a major outage improves integrity;</w:t>
      </w:r>
    </w:p>
    <w:p>
      <w:pPr>
        <w:pStyle w:val="ListParagraph"/>
      </w:pPr>
      <w:r>
        <w:t xml:space="preserve">• concentrated liquidity appears more resilient than diversified liquidity without evidence;</w:t>
      </w:r>
    </w:p>
    <w:p>
      <w:pPr>
        <w:pStyle w:val="ListParagraph"/>
      </w:pPr>
      <w:r>
        <w:t xml:space="preserve">• unsustainable emissions create a durable PoV increase;</w:t>
      </w:r>
    </w:p>
    <w:p>
      <w:pPr>
        <w:pStyle w:val="ListParagraph"/>
      </w:pPr>
      <w:r>
        <w:t xml:space="preserve">• missing data improves confidence;</w:t>
      </w:r>
    </w:p>
    <w:p>
      <w:pPr>
        <w:pStyle w:val="ListParagraph"/>
      </w:pPr>
      <w:r>
        <w:t xml:space="preserve">• market price mechanically changes VTS.</w:t>
      </w:r>
    </w:p>
    <w:p>
      <w:pPr>
        <w:pStyle w:val="Heading2"/>
      </w:pPr>
      <w:r>
        <w:t xml:space="preserve">31.7 Out-of-sample testing</w:t>
      </w:r>
    </w:p>
    <w:p>
      <w:pPr>
        <w:pStyle w:val="Normal"/>
      </w:pPr>
      <w:r>
        <w:t xml:space="preserve">Benchmark and weighting calibration uses separate development and evaluation periods. The DAO avoids repeatedly adjusting the model to fit known historical outcomes. New network and event samples provide out-of-sample tests.</w:t>
      </w:r>
    </w:p>
    <w:p>
      <w:pPr>
        <w:pStyle w:val="Heading2"/>
      </w:pPr>
      <w:r>
        <w:t xml:space="preserve">31.8 Predictive research</w:t>
      </w:r>
    </w:p>
    <w:p>
      <w:pPr>
        <w:pStyle w:val="Normal"/>
      </w:pPr>
      <w:r>
        <w:t xml:space="preserve">Voxonomics may be tested against future outcomes such as activity retention, revenue durability, drawdown resilience, validator participation and incident frequency. Predictive correlation is useful evidence, but the framework remains a measurement standard rather than a promise of investment returns.</w:t>
      </w:r>
    </w:p>
    <w:p>
      <w:pPr>
        <w:pStyle w:val="Heading2"/>
      </w:pPr>
      <w:r>
        <w:t xml:space="preserve">31.9 Independent replication</w:t>
      </w:r>
    </w:p>
    <w:p>
      <w:pPr>
        <w:pStyle w:val="Normal"/>
      </w:pPr>
      <w:r>
        <w:t xml:space="preserve">Universities, research groups, data providers and communities are encouraged to reproduce results and publish disagreements. The DAO may fund replication but cannot require favourable conclusions.</w:t>
      </w:r>
    </w:p>
    <w:p>
      <w:pPr>
        <w:pStyle w:val="Heading1"/>
        <w:pageBreakBefore/>
      </w:pPr>
      <w:r>
        <w:t xml:space="preserve">32. Manipulation Resistance</w:t>
      </w:r>
    </w:p>
    <w:p>
      <w:pPr>
        <w:pStyle w:val="Heading2"/>
      </w:pPr>
      <w:r>
        <w:t xml:space="preserve">32.1 Threat model</w:t>
      </w:r>
    </w:p>
    <w:p>
      <w:pPr>
        <w:pStyle w:val="Normal"/>
      </w:pPr>
      <w:r>
        <w:t xml:space="preserve">Potential manipulators include network foundations, applications, validators, exchanges, liquidity providers, market participants, data providers and governance coalitions. Incentives increase if scores affect reputation, capital allocation, collateral or VOX issuance.</w:t>
      </w:r>
    </w:p>
    <w:p>
      <w:pPr>
        <w:pStyle w:val="Normal"/>
      </w:pPr>
      <w:r>
        <w:t xml:space="preserve">The framework therefore treats manipulation cost as a design requirement.</w:t>
      </w:r>
    </w:p>
    <w:p>
      <w:pPr>
        <w:pStyle w:val="Heading2"/>
      </w:pPr>
      <w:r>
        <w:t xml:space="preserve">32.2 Activity manipulation</w:t>
      </w:r>
    </w:p>
    <w:p>
      <w:pPr>
        <w:pStyle w:val="Normal"/>
      </w:pPr>
      <w:r>
        <w:t xml:space="preserve">Attacks may create transactions, addresses, fees or contract calls to inflate PoV and OPI. Controls include:</w:t>
      </w:r>
    </w:p>
    <w:p>
      <w:pPr>
        <w:pStyle w:val="ListParagraph"/>
      </w:pPr>
      <w:r>
        <w:t xml:space="preserve">• economic-value thresholds;</w:t>
      </w:r>
    </w:p>
    <w:p>
      <w:pPr>
        <w:pStyle w:val="ListParagraph"/>
      </w:pPr>
      <w:r>
        <w:t xml:space="preserve">• self-transfer and circular-flow detection;</w:t>
      </w:r>
    </w:p>
    <w:p>
      <w:pPr>
        <w:pStyle w:val="ListParagraph"/>
      </w:pPr>
      <w:r>
        <w:t xml:space="preserve">• entity and application concentration;</w:t>
      </w:r>
    </w:p>
    <w:p>
      <w:pPr>
        <w:pStyle w:val="ListParagraph"/>
      </w:pPr>
      <w:r>
        <w:t xml:space="preserve">• subsidy and rebate adjustment;</w:t>
      </w:r>
    </w:p>
    <w:p>
      <w:pPr>
        <w:pStyle w:val="ListParagraph"/>
      </w:pPr>
      <w:r>
        <w:t xml:space="preserve">• retention requirements;</w:t>
      </w:r>
    </w:p>
    <w:p>
      <w:pPr>
        <w:pStyle w:val="ListParagraph"/>
      </w:pPr>
      <w:r>
        <w:t xml:space="preserve">• fee-to-value and revenue-to-incentive ratios;</w:t>
      </w:r>
    </w:p>
    <w:p>
      <w:pPr>
        <w:pStyle w:val="ListParagraph"/>
      </w:pPr>
      <w:r>
        <w:t xml:space="preserve">• capped daily movement;</w:t>
      </w:r>
    </w:p>
    <w:p>
      <w:pPr>
        <w:pStyle w:val="ListParagraph"/>
      </w:pPr>
      <w:r>
        <w:t xml:space="preserve">• independent source reconciliation.</w:t>
      </w:r>
    </w:p>
    <w:p>
      <w:pPr>
        <w:pStyle w:val="Normal"/>
      </w:pPr>
      <w:r>
        <w:t xml:space="preserve">A manipulator may still pay real fees to raise activity. The model estimates whether the economic cost is durable and whether the resulting activity creates value capture.</w:t>
      </w:r>
    </w:p>
    <w:p>
      <w:pPr>
        <w:pStyle w:val="Heading2"/>
      </w:pPr>
      <w:r>
        <w:t xml:space="preserve">32.3 Liquidity manipulation</w:t>
      </w:r>
    </w:p>
    <w:p>
      <w:pPr>
        <w:pStyle w:val="Normal"/>
      </w:pPr>
      <w:r>
        <w:t xml:space="preserve">Temporary deposits can inflate TVL or depth. DLI uses standard trade simulation, liquidity duration, withdrawal stress, provider concentration and incentive adjustment. Snapshot-only TVL is not sufficient.</w:t>
      </w:r>
    </w:p>
    <w:p>
      <w:pPr>
        <w:pStyle w:val="Heading2"/>
      </w:pPr>
      <w:r>
        <w:t xml:space="preserve">32.4 Governance manipulation</w:t>
      </w:r>
    </w:p>
    <w:p>
      <w:pPr>
        <w:pStyle w:val="Normal"/>
      </w:pPr>
      <w:r>
        <w:t xml:space="preserve">A network can create many low-quality proposals or sybil voters. OPI distinguishes turnout, voting-power distribution, proposal quality, execution and retention. Governance events controlled by the same entity do not count as independent participation.</w:t>
      </w:r>
    </w:p>
    <w:p>
      <w:pPr>
        <w:pStyle w:val="Heading2"/>
      </w:pPr>
      <w:r>
        <w:t xml:space="preserve">32.5 Developer manipulation</w:t>
      </w:r>
    </w:p>
    <w:p>
      <w:pPr>
        <w:pStyle w:val="Normal"/>
      </w:pPr>
      <w:r>
        <w:t xml:space="preserve">Commit counts can be fabricated. Developer measures filter forks, mirrors, bots, generated code and trivial commits. Productive contribution is assessed through reviewed changes, releases, maintenance and independent contributor retention.</w:t>
      </w:r>
    </w:p>
    <w:p>
      <w:pPr>
        <w:pStyle w:val="Heading2"/>
      </w:pPr>
      <w:r>
        <w:t xml:space="preserve">32.6 Adoption manipulation</w:t>
      </w:r>
    </w:p>
    <w:p>
      <w:pPr>
        <w:pStyle w:val="Normal"/>
      </w:pPr>
      <w:r>
        <w:t xml:space="preserve">Announced partnerships and tokenised assets can be created without real use or enforceable claims. RWAI requires observed settlement, persistence, external verification and quality. Unverified announcements receive no quantitative credit.</w:t>
      </w:r>
    </w:p>
    <w:p>
      <w:pPr>
        <w:pStyle w:val="Heading2"/>
      </w:pPr>
      <w:r>
        <w:t xml:space="preserve">32.7 Data-provider manipulation</w:t>
      </w:r>
    </w:p>
    <w:p>
      <w:pPr>
        <w:pStyle w:val="Normal"/>
      </w:pPr>
      <w:r>
        <w:t xml:space="preserve">Providers may classify assets or applications in ways that favour customers. The framework requires methodology disclosure, conflict records, source comparison and the ability to replace a provider without changing the canonical definition.</w:t>
      </w:r>
    </w:p>
    <w:p>
      <w:pPr>
        <w:pStyle w:val="Heading2"/>
      </w:pPr>
      <w:r>
        <w:t xml:space="preserve">32.8 Governance capture of the model</w:t>
      </w:r>
    </w:p>
    <w:p>
      <w:pPr>
        <w:pStyle w:val="Normal"/>
      </w:pPr>
      <w:r>
        <w:t xml:space="preserve">A coalition could attempt to alter benchmarks or submetric weights. Constitutional parent equality, impact simulations, timelocks, supermajority thresholds, conflict disclosure and open-source reproducibility reduce this risk.</w:t>
      </w:r>
    </w:p>
    <w:p>
      <w:pPr>
        <w:pStyle w:val="Heading2"/>
      </w:pPr>
      <w:r>
        <w:t xml:space="preserve">32.9 Manipulation-budget analysis</w:t>
      </w:r>
    </w:p>
    <w:p>
      <w:pPr>
        <w:pStyle w:val="Normal"/>
      </w:pPr>
      <w:r>
        <w:t xml:space="preserve">Before an optional economic layer is activated, the DAO estimates:</w:t>
      </w:r>
    </w:p>
    <w:p>
      <w:pPr>
        <w:jc w:val="center"/>
      </w:pPr>
      <w:r>
        <w:drawing>
          <wp:inline distT="0" distB="0" distL="0" distR="0">
            <wp:extent cx="5638800" cy="579407"/>
            <wp:docPr id="46" name="Figure 46" descr="Specification figure or equation in 32. Manipulation Resistance; original available in the DOCX"/>
            <a:graphic>
              <a:graphicData uri="http://schemas.openxmlformats.org/drawingml/2006/picture">
                <pic:pic>
                  <pic:nvPicPr>
                    <pic:cNvPr id="0" name="image46.png"/>
                    <pic:cNvPicPr/>
                  </pic:nvPicPr>
                  <pic:blipFill>
                    <a:blip r:embed="rId48"/>
                    <a:stretch>
                      <a:fillRect/>
                    </a:stretch>
                  </pic:blipFill>
                  <pic:spPr>
                    <a:xfrm>
                      <a:off x="0" y="0"/>
                      <a:ext cx="5638800" cy="579407"/>
                    </a:xfrm>
                    <a:prstGeom prst="rect">
                      <a:avLst/>
                    </a:prstGeom>
                  </pic:spPr>
                </pic:pic>
              </a:graphicData>
            </a:graphic>
          </wp:inline>
        </w:drawing>
      </w:r>
    </w:p>
    <w:p>
      <w:pPr>
        <w:pStyle w:val="Normal"/>
      </w:pPr>
      <w:r>
        <w:t xml:space="preserve">A design is unacceptable where low-cost activity can produce high-value issuance or collateral benefits. Caps, delays and independent review must reduce expected manipulation ROI below one under reasonable scenarios.</w:t>
      </w:r>
    </w:p>
    <w:p>
      <w:pPr>
        <w:pStyle w:val="Heading1"/>
        <w:pageBreakBefore/>
      </w:pPr>
      <w:r>
        <w:t xml:space="preserve">33. Security Architecture</w:t>
      </w:r>
    </w:p>
    <w:p>
      <w:pPr>
        <w:pStyle w:val="Heading2"/>
      </w:pPr>
      <w:r>
        <w:t xml:space="preserve">33.1 Security domains</w:t>
      </w:r>
    </w:p>
    <w:p>
      <w:pPr>
        <w:pStyle w:val="Normal"/>
      </w:pPr>
      <w:r>
        <w:t xml:space="preserve">Voxonomics security covers:</w:t>
      </w:r>
    </w:p>
    <w:p>
      <w:pPr>
        <w:pStyle w:val="ListParagraph"/>
      </w:pPr>
      <w:r>
        <w:t xml:space="preserve">• source and node integrity;</w:t>
      </w:r>
    </w:p>
    <w:p>
      <w:pPr>
        <w:pStyle w:val="ListParagraph"/>
      </w:pPr>
      <w:r>
        <w:t xml:space="preserve">• adapter and calculation code;</w:t>
      </w:r>
    </w:p>
    <w:p>
      <w:pPr>
        <w:pStyle w:val="ListParagraph"/>
      </w:pPr>
      <w:r>
        <w:t xml:space="preserve">• build and deployment pipeline;</w:t>
      </w:r>
    </w:p>
    <w:p>
      <w:pPr>
        <w:pStyle w:val="ListParagraph"/>
      </w:pPr>
      <w:r>
        <w:t xml:space="preserve">• result signing and publication;</w:t>
      </w:r>
    </w:p>
    <w:p>
      <w:pPr>
        <w:pStyle w:val="ListParagraph"/>
      </w:pPr>
      <w:r>
        <w:t xml:space="preserve">• governance contracts;</w:t>
      </w:r>
    </w:p>
    <w:p>
      <w:pPr>
        <w:pStyle w:val="ListParagraph"/>
      </w:pPr>
      <w:r>
        <w:t xml:space="preserve">• optional issuance contracts;</w:t>
      </w:r>
    </w:p>
    <w:p>
      <w:pPr>
        <w:pStyle w:val="ListParagraph"/>
      </w:pPr>
      <w:r>
        <w:t xml:space="preserve">• bridges, oracles and markets;</w:t>
      </w:r>
    </w:p>
    <w:p>
      <w:pPr>
        <w:pStyle w:val="ListParagraph"/>
      </w:pPr>
      <w:r>
        <w:t xml:space="preserve">• keys, access controls and incident response.</w:t>
      </w:r>
    </w:p>
    <w:p>
      <w:pPr>
        <w:pStyle w:val="Heading2"/>
      </w:pPr>
      <w:r>
        <w:t xml:space="preserve">33.2 Node and source security</w:t>
      </w:r>
    </w:p>
    <w:p>
      <w:pPr>
        <w:pStyle w:val="Normal"/>
      </w:pPr>
      <w:r>
        <w:t xml:space="preserve">Calculation operators use authenticated endpoints, archival verification where required, block-hash checks, chain-ID validation and protection against eclipse or provider substitution. Critical observations are verified against independent sources or direct state.</w:t>
      </w:r>
    </w:p>
    <w:p>
      <w:pPr>
        <w:pStyle w:val="Heading2"/>
      </w:pPr>
      <w:r>
        <w:t xml:space="preserve">33.3 Software supply chain</w:t>
      </w:r>
    </w:p>
    <w:p>
      <w:pPr>
        <w:pStyle w:val="Normal"/>
      </w:pPr>
      <w:r>
        <w:t xml:space="preserve">Source code is version-controlled and reviewed. Builds use pinned dependencies, reproducible environments, signed artefacts and software-bill-of-materials records. Critical dependencies are monitored for vulnerabilities.</w:t>
      </w:r>
    </w:p>
    <w:p>
      <w:pPr>
        <w:pStyle w:val="Heading2"/>
      </w:pPr>
      <w:r>
        <w:t xml:space="preserve">33.4 Calculation determinism</w:t>
      </w:r>
    </w:p>
    <w:p>
      <w:pPr>
        <w:pStyle w:val="Normal"/>
      </w:pPr>
      <w:r>
        <w:t xml:space="preserve">For a fixed snapshot and methodology version, the calculation must be deterministic. Floating-point behaviour, rounding, time zones, decimal handling and source-order effects are specified. High-precision decimal arithmetic is used for financial quantities.</w:t>
      </w:r>
    </w:p>
    <w:p>
      <w:pPr>
        <w:pStyle w:val="Heading2"/>
      </w:pPr>
      <w:r>
        <w:t xml:space="preserve">33.5 Key management</w:t>
      </w:r>
    </w:p>
    <w:p>
      <w:pPr>
        <w:pStyle w:val="Normal"/>
      </w:pPr>
      <w:r>
        <w:t xml:space="preserve">Publishing, governance and economic-layer keys use threshold signatures or multi-party control. Roles are separated. Key rotation, recovery, hardware security and compromise procedures are documented.</w:t>
      </w:r>
    </w:p>
    <w:p>
      <w:pPr>
        <w:pStyle w:val="Heading2"/>
      </w:pPr>
      <w:r>
        <w:t xml:space="preserve">33.6 Oracle publication</w:t>
      </w:r>
    </w:p>
    <w:p>
      <w:pPr>
        <w:pStyle w:val="Normal"/>
      </w:pPr>
      <w:r>
        <w:t xml:space="preserve">Where results are placed on-chain, independent publishers sign the same calculation manifest. Contracts verify threshold agreement, freshness, methodology version and deviation bounds. A single publisher cannot silently change a score.</w:t>
      </w:r>
    </w:p>
    <w:p>
      <w:pPr>
        <w:pStyle w:val="Heading2"/>
      </w:pPr>
      <w:r>
        <w:t xml:space="preserve">33.7 Governance security</w:t>
      </w:r>
    </w:p>
    <w:p>
      <w:pPr>
        <w:pStyle w:val="Normal"/>
      </w:pPr>
      <w:r>
        <w:t xml:space="preserve">Governance contracts use audited proposal, timelock and execution modules. Emergency powers are narrow, time-limited and visible. Upgrade keys cannot bypass constitutional publication and delay rules.</w:t>
      </w:r>
    </w:p>
    <w:p>
      <w:pPr>
        <w:pStyle w:val="Heading2"/>
      </w:pPr>
      <w:r>
        <w:t xml:space="preserve">33.8 Economic-layer security</w:t>
      </w:r>
    </w:p>
    <w:p>
      <w:pPr>
        <w:pStyle w:val="Normal"/>
      </w:pPr>
      <w:r>
        <w:t xml:space="preserve">Tokenised VOX contracts require formal review of:</w:t>
      </w:r>
    </w:p>
    <w:p>
      <w:pPr>
        <w:pStyle w:val="ListParagraph"/>
      </w:pPr>
      <w:r>
        <w:t xml:space="preserve">• indexed-balance accounting;</w:t>
      </w:r>
    </w:p>
    <w:p>
      <w:pPr>
        <w:pStyle w:val="ListParagraph"/>
      </w:pPr>
      <w:r>
        <w:t xml:space="preserve">• total-supply invariants;</w:t>
      </w:r>
    </w:p>
    <w:p>
      <w:pPr>
        <w:pStyle w:val="ListParagraph"/>
      </w:pPr>
      <w:r>
        <w:t xml:space="preserve">• bridge representation;</w:t>
      </w:r>
    </w:p>
    <w:p>
      <w:pPr>
        <w:pStyle w:val="ListParagraph"/>
      </w:pPr>
      <w:r>
        <w:t xml:space="preserve">• staking and lending integration;</w:t>
      </w:r>
    </w:p>
    <w:p>
      <w:pPr>
        <w:pStyle w:val="ListParagraph"/>
      </w:pPr>
      <w:r>
        <w:t xml:space="preserve">• rounding and dust;</w:t>
      </w:r>
    </w:p>
    <w:p>
      <w:pPr>
        <w:pStyle w:val="ListParagraph"/>
      </w:pPr>
      <w:r>
        <w:t xml:space="preserve">• pause and recovery modes;</w:t>
      </w:r>
    </w:p>
    <w:p>
      <w:pPr>
        <w:pStyle w:val="ListParagraph"/>
      </w:pPr>
      <w:r>
        <w:t xml:space="preserve">• governance upgrade boundaries;</w:t>
      </w:r>
    </w:p>
    <w:p>
      <w:pPr>
        <w:pStyle w:val="ListParagraph"/>
      </w:pPr>
      <w:r>
        <w:t xml:space="preserve">• interaction with exchanges and automated market makers.</w:t>
      </w:r>
    </w:p>
    <w:p>
      <w:pPr>
        <w:pStyle w:val="Heading2"/>
      </w:pPr>
      <w:r>
        <w:t xml:space="preserve">33.9 Incident response</w:t>
      </w:r>
    </w:p>
    <w:p>
      <w:pPr>
        <w:pStyle w:val="Normal"/>
      </w:pPr>
      <w:r>
        <w:t xml:space="preserve">The incident process includes detection, classification, containment, evidence preservation, communication, remediation, independent review and post-mortem. Security incidents may affect PII, ERI, VRS and VCS according to predefined rules.</w:t>
      </w:r>
    </w:p>
    <w:p>
      <w:pPr>
        <w:pStyle w:val="Heading1"/>
        <w:pageBreakBefore/>
      </w:pPr>
      <w:r>
        <w:t xml:space="preserve">34. Economic, Governance and Legal Risk</w:t>
      </w:r>
    </w:p>
    <w:p>
      <w:pPr>
        <w:pStyle w:val="Heading2"/>
      </w:pPr>
      <w:r>
        <w:t xml:space="preserve">34.1 Model risk</w:t>
      </w:r>
    </w:p>
    <w:p>
      <w:pPr>
        <w:pStyle w:val="Normal"/>
      </w:pPr>
      <w:r>
        <w:t xml:space="preserve">Voxonomics simplifies complex economies. Metric definitions, transformations and benchmarks can be incomplete or wrong. Equal parent weighting improves neutrality but does not prove that the six dimensions have equal predictive importance for every use case.</w:t>
      </w:r>
    </w:p>
    <w:p>
      <w:pPr>
        <w:pStyle w:val="Normal"/>
      </w:pPr>
      <w:r>
        <w:t xml:space="preserve">Mitigation is transparency, validation, versioning and the availability of component-level analysis.</w:t>
      </w:r>
    </w:p>
    <w:p>
      <w:pPr>
        <w:pStyle w:val="Heading2"/>
      </w:pPr>
      <w:r>
        <w:t xml:space="preserve">34.2 Goodhart’s law</w:t>
      </w:r>
    </w:p>
    <w:p>
      <w:pPr>
        <w:pStyle w:val="Normal"/>
      </w:pPr>
      <w:r>
        <w:t xml:space="preserve">When a measure becomes a target, participants may optimise the measure rather than the underlying value. Voxonomics reduces this risk through multi-dimensional measurement, persistence, anti-gaming rules, periodic review and separation between measurement and issuance. It cannot eliminate the problem.</w:t>
      </w:r>
    </w:p>
    <w:p>
      <w:pPr>
        <w:pStyle w:val="Heading2"/>
      </w:pPr>
      <w:r>
        <w:t xml:space="preserve">34.3 Endogeneity and reflexivity</w:t>
      </w:r>
    </w:p>
    <w:p>
      <w:pPr>
        <w:pStyle w:val="Normal"/>
      </w:pPr>
      <w:r>
        <w:t xml:space="preserve">Metrics interact. Liquidity can attract users; users create fees; higher valuation funds development; an exploit can reduce both activity and liquidity. The six indices are not statistically independent. The framework treats them as distinct economic perspectives, not causal variables that can be added without interpretation.</w:t>
      </w:r>
    </w:p>
    <w:p>
      <w:pPr>
        <w:pStyle w:val="Heading2"/>
      </w:pPr>
      <w:r>
        <w:t xml:space="preserve">34.4 Governance legitimacy</w:t>
      </w:r>
    </w:p>
    <w:p>
      <w:pPr>
        <w:pStyle w:val="Normal"/>
      </w:pPr>
      <w:r>
        <w:t xml:space="preserve">One global DAO creates consistency but also concentrates standard-setting responsibility. Legitimacy depends on open participation, expertise, capture resistance, conflicts policy and the ability to reproduce or fork the framework.</w:t>
      </w:r>
    </w:p>
    <w:p>
      <w:pPr>
        <w:pStyle w:val="Heading2"/>
      </w:pPr>
      <w:r>
        <w:t xml:space="preserve">34.5 Data inequality</w:t>
      </w:r>
    </w:p>
    <w:p>
      <w:pPr>
        <w:pStyle w:val="Normal"/>
      </w:pPr>
      <w:r>
        <w:t xml:space="preserve">Older and larger networks may have richer data and longer histories. New or privacy-preserving networks can receive lower VCS. This is not a judgement of their future potential, but it affects comparability. Provisional publication and explicit history requirements reduce false certainty.</w:t>
      </w:r>
    </w:p>
    <w:p>
      <w:pPr>
        <w:pStyle w:val="Heading2"/>
      </w:pPr>
      <w:r>
        <w:t xml:space="preserve">34.6 Regulatory risk</w:t>
      </w:r>
    </w:p>
    <w:p>
      <w:pPr>
        <w:pStyle w:val="Normal"/>
      </w:pPr>
      <w:r>
        <w:t xml:space="preserve">Laws governing digital assets, market data, financial promotion, privacy, token issuance, collective investment and decentralised governance vary by jurisdiction and change over time. The measurement framework should remain factual and transparent. Optional tokens and markets require separate legal analysis.</w:t>
      </w:r>
    </w:p>
    <w:p>
      <w:pPr>
        <w:pStyle w:val="Heading2"/>
      </w:pPr>
      <w:r>
        <w:t xml:space="preserve">34.7 Intellectual-property and licensing risk</w:t>
      </w:r>
    </w:p>
    <w:p>
      <w:pPr>
        <w:pStyle w:val="Normal"/>
      </w:pPr>
      <w:r>
        <w:t xml:space="preserve">Data, code and labels may have licence restrictions. The standard prioritises open methods and avoids dependence on data that cannot be verified. Contributors must respect source licences and attribution.</w:t>
      </w:r>
    </w:p>
    <w:p>
      <w:pPr>
        <w:pStyle w:val="Heading2"/>
      </w:pPr>
      <w:r>
        <w:t xml:space="preserve">34.8 Economic-layer solvency</w:t>
      </w:r>
    </w:p>
    <w:p>
      <w:pPr>
        <w:pStyle w:val="Normal"/>
      </w:pPr>
      <w:r>
        <w:t xml:space="preserve">An indexed supply mechanism changes quantity but does not create reserves or redemption value. VOX must not be marketed as collateral-backed or stable unless a separate audited design provides those properties.</w:t>
      </w:r>
    </w:p>
    <w:p>
      <w:pPr>
        <w:pStyle w:val="Heading2"/>
      </w:pPr>
      <w:r>
        <w:t xml:space="preserve">34.9 Concentration of optional VOX ownership</w:t>
      </w:r>
    </w:p>
    <w:p>
      <w:pPr>
        <w:pStyle w:val="Normal"/>
      </w:pPr>
      <w:r>
        <w:t xml:space="preserve">A universally calculated asset can still be distributed unfairly. Genesis allocation, treasury control and market concentration affect legitimacy and VRS even if the supply formula is neutral.</w:t>
      </w:r>
    </w:p>
    <w:p>
      <w:pPr>
        <w:pStyle w:val="Heading2"/>
      </w:pPr>
      <w:r>
        <w:t xml:space="preserve">34.10 Cross-chain systemic risk</w:t>
      </w:r>
    </w:p>
    <w:p>
      <w:pPr>
        <w:pStyle w:val="Normal"/>
      </w:pPr>
      <w:r>
        <w:t xml:space="preserve">If VOX becomes widely used as collateral or settlement, correlated score changes, bridge failures or oracle interruptions could transmit stress across networks. Exposure limits, circuit breakers and staged adoption are necessary.</w:t>
      </w:r>
    </w:p>
    <w:p>
      <w:pPr>
        <w:pStyle w:val="Heading1"/>
        <w:pageBreakBefore/>
      </w:pPr>
      <w:r>
        <w:t xml:space="preserve">35. Limitations and Responsible Interpretation</w:t>
      </w:r>
    </w:p>
    <w:p>
      <w:pPr>
        <w:pStyle w:val="Heading2"/>
      </w:pPr>
      <w:r>
        <w:t xml:space="preserve">35.1 A model, not absolute truth</w:t>
      </w:r>
    </w:p>
    <w:p>
      <w:pPr>
        <w:pStyle w:val="Normal"/>
      </w:pPr>
      <w:r>
        <w:t xml:space="preserve">VTS is a model-derived estimate of intrinsic network economic performance. The underlying observations may be objective, but metric selection, transformations and aggregation contain governance choices. The framework therefore uses the phrase verifiable economic measurement, not unquestionable economic truth.</w:t>
      </w:r>
    </w:p>
    <w:p>
      <w:pPr>
        <w:pStyle w:val="Heading2"/>
      </w:pPr>
      <w:r>
        <w:t xml:space="preserve">35.2 Address activity is not human identity</w:t>
      </w:r>
    </w:p>
    <w:p>
      <w:pPr>
        <w:pStyle w:val="Normal"/>
      </w:pPr>
      <w:r>
        <w:t xml:space="preserve">On-chain addresses may represent individuals, institutions, contracts, bots or shared services. Voxonomics avoids claiming a precise human user count where evidence does not support it.</w:t>
      </w:r>
    </w:p>
    <w:p>
      <w:pPr>
        <w:pStyle w:val="Heading2"/>
      </w:pPr>
      <w:r>
        <w:t xml:space="preserve">35.3 Off-chain activity can be under-observed</w:t>
      </w:r>
    </w:p>
    <w:p>
      <w:pPr>
        <w:pStyle w:val="Normal"/>
      </w:pPr>
      <w:r>
        <w:t xml:space="preserve">A network may support valuable private, enterprise or off-chain activity that is not publicly visible. RWAI records verified evidence; it cannot score unverifiable claims.</w:t>
      </w:r>
    </w:p>
    <w:p>
      <w:pPr>
        <w:pStyle w:val="Heading2"/>
      </w:pPr>
      <w:r>
        <w:t xml:space="preserve">35.4 Security is partly unobservable</w:t>
      </w:r>
    </w:p>
    <w:p>
      <w:pPr>
        <w:pStyle w:val="Normal"/>
      </w:pPr>
      <w:r>
        <w:t xml:space="preserve">Undiscovered vulnerabilities and hidden operational dependencies cannot be measured directly. PII and VRS use available evidence and confidence, not guarantees.</w:t>
      </w:r>
    </w:p>
    <w:p>
      <w:pPr>
        <w:pStyle w:val="Heading2"/>
      </w:pPr>
      <w:r>
        <w:t xml:space="preserve">35.5 Market expectations can be rational</w:t>
      </w:r>
    </w:p>
    <w:p>
      <w:pPr>
        <w:pStyle w:val="Normal"/>
      </w:pPr>
      <w:r>
        <w:t xml:space="preserve">A negative Opportunity Gap does not prove overvaluation. Markets may price future technology, network effects or regulatory outcomes before they appear in current data. Conversely, a positive gap may reflect risks omitted from VTS.</w:t>
      </w:r>
    </w:p>
    <w:p>
      <w:pPr>
        <w:pStyle w:val="Heading2"/>
      </w:pPr>
      <w:r>
        <w:t xml:space="preserve">35.6 Architecture remains economically relevant</w:t>
      </w:r>
    </w:p>
    <w:p>
      <w:pPr>
        <w:pStyle w:val="Normal"/>
      </w:pPr>
      <w:r>
        <w:t xml:space="preserve">Universal definitions improve comparability but do not make architectures identical. Users should inspect adapters, parent indices and dependency profiles rather than relying only on VTS.</w:t>
      </w:r>
    </w:p>
    <w:p>
      <w:pPr>
        <w:pStyle w:val="Heading2"/>
      </w:pPr>
      <w:r>
        <w:t xml:space="preserve">35.7 Benchmarks can move</w:t>
      </w:r>
    </w:p>
    <w:p>
      <w:pPr>
        <w:pStyle w:val="Normal"/>
      </w:pPr>
      <w:r>
        <w:t xml:space="preserve">ERU is designed to track credible high-quality performance. A network’s VTS can change because its own performance changes, because the benchmark changes, or both. VoxUI separates these effects.</w:t>
      </w:r>
    </w:p>
    <w:p>
      <w:pPr>
        <w:pStyle w:val="Heading2"/>
      </w:pPr>
      <w:r>
        <w:t xml:space="preserve">35.8 Scores are not personalised advice</w:t>
      </w:r>
    </w:p>
    <w:p>
      <w:pPr>
        <w:pStyle w:val="Normal"/>
      </w:pPr>
      <w:r>
        <w:t xml:space="preserve">Voxonomics outputs do not account for an individual’s objectives, time horizon, liquidity needs, tax position or risk tolerance. They are research inputs.</w:t>
      </w:r>
    </w:p>
    <w:p>
      <w:pPr>
        <w:pStyle w:val="Heading2"/>
      </w:pPr>
      <w:r>
        <w:t xml:space="preserve">35.9 Finality of this edition</w:t>
      </w:r>
    </w:p>
    <w:p>
      <w:pPr>
        <w:pStyle w:val="Normal"/>
      </w:pPr>
      <w:r>
        <w:t xml:space="preserve">Edition 3.2 preserves the complete Edition 3.1 economic framework and adds the evidence-storage and distributed-node architecture required to operate its verifiability principle at scale. Future evidence may justify improvements. Those improvements must be explicit, versioned and open to challenge, and they must distinguish methodological change from infrastructure change.</w:t>
      </w:r>
    </w:p>
    <w:p>
      <w:pPr>
        <w:pStyle w:val="Normal"/>
      </w:pPr>
      <w:r>
        <w:t xml:space="preserve">Part VIII — Implementation and Future Development</w:t>
      </w:r>
    </w:p>
    <w:p>
      <w:pPr>
        <w:pStyle w:val="Heading1"/>
        <w:pageBreakBefore/>
      </w:pPr>
      <w:r>
        <w:t xml:space="preserve">36. Roadmap</w:t>
      </w:r>
    </w:p>
    <w:p>
      <w:pPr>
        <w:pStyle w:val="Normal"/>
      </w:pPr>
      <w:r>
        <w:t xml:space="preserve">The roadmap prioritises measurement, validation and public infrastructure before monetary implementation. Dates are indicative and subject to governance, funding and audit readiness.</w:t>
      </w:r>
    </w:p>
    <w:p>
      <w:pPr>
        <w:pStyle w:val="Normal"/>
      </w:pPr>
      <w:r>
        <w:t xml:space="preserve">The current Phase-1 implementation programme covers Ethereum, Avalanche C-Chain, BNB Smart Chain and TRON as four independently governed engineering networks. Solana, included in earlier development, is paused. This scope is not a declaration of completed certification, continuous evidence coverage, metric readiness or official scoring. Those claims require separately identified evidence, tests and approval gates for each network.</w:t>
      </w:r>
    </w:p>
    <w:p>
      <w:pPr>
        <w:pStyle w:val="Normal"/>
      </w:pPr>
      <w:r>
        <w:t xml:space="preserve">The evidence and Vox-in-a-Box architecture in Part IX is intended to support the public measurement-network phases by allowing evidence custody, reproduction and publication resilience to become distributed without creating competing versions of the methodology.</w:t>
      </w:r>
    </w:p>
    <w:p>
      <w:pPr>
        <w:pStyle w:val="Heading2"/>
      </w:pPr>
      <w:r>
        <w:t xml:space="preserve">36.1 Phase 0 — Constitutional publication</w:t>
      </w:r>
    </w:p>
    <w:p>
      <w:pPr>
        <w:pStyle w:val="Normal"/>
      </w:pPr>
      <w:r>
        <w:t xml:space="preserve">Objective: establish Edition 3.1 as the canonical specification.</w:t>
      </w:r>
    </w:p>
    <w:p>
      <w:pPr>
        <w:pStyle w:val="Normal"/>
      </w:pPr>
      <w:r>
        <w:t xml:space="preserve">Deliverables:</w:t>
      </w:r>
    </w:p>
    <w:p>
      <w:pPr>
        <w:pStyle w:val="ListParagraph"/>
      </w:pPr>
      <w:r>
        <w:t xml:space="preserve">• publish the whitepaper and machine-readable metric registry;</w:t>
      </w:r>
    </w:p>
    <w:p>
      <w:pPr>
        <w:pStyle w:val="ListParagraph"/>
      </w:pPr>
      <w:r>
        <w:t xml:space="preserve">• release governance constitution and contribution standards;</w:t>
      </w:r>
    </w:p>
    <w:p>
      <w:pPr>
        <w:pStyle w:val="ListParagraph"/>
      </w:pPr>
      <w:r>
        <w:t xml:space="preserve">• establish public repositories and issue tracking;</w:t>
      </w:r>
    </w:p>
    <w:p>
      <w:pPr>
        <w:pStyle w:val="ListParagraph"/>
      </w:pPr>
      <w:r>
        <w:t xml:space="preserve">• define canonical network and asset identifiers;</w:t>
      </w:r>
    </w:p>
    <w:p>
      <w:pPr>
        <w:pStyle w:val="ListParagraph"/>
      </w:pPr>
      <w:r>
        <w:t xml:space="preserve">• publish data-source and licensing policy;</w:t>
      </w:r>
    </w:p>
    <w:p>
      <w:pPr>
        <w:pStyle w:val="ListParagraph"/>
      </w:pPr>
      <w:r>
        <w:t xml:space="preserve">• invite academic, engineering and market-structure review.</w:t>
      </w:r>
    </w:p>
    <w:p>
      <w:pPr>
        <w:pStyle w:val="Normal"/>
      </w:pPr>
      <w:r>
        <w:t xml:space="preserve">Exit condition: all constitutional definitions have stable identifiers and unresolved questions are recorded publicly.</w:t>
      </w:r>
    </w:p>
    <w:p>
      <w:pPr>
        <w:pStyle w:val="Heading2"/>
      </w:pPr>
      <w:r>
        <w:t xml:space="preserve">36.2 Phase 1 — Data and adapter prototype (0–6 months)</w:t>
      </w:r>
    </w:p>
    <w:p>
      <w:pPr>
        <w:pStyle w:val="Normal"/>
      </w:pPr>
      <w:r>
        <w:t xml:space="preserve">Objective: prove that the six-index model can be implemented reproducibly across materially different architectures.</w:t>
      </w:r>
    </w:p>
    <w:p>
      <w:pPr>
        <w:pStyle w:val="Normal"/>
      </w:pPr>
      <w:r>
        <w:t xml:space="preserve">Deliverables:</w:t>
      </w:r>
    </w:p>
    <w:p>
      <w:pPr>
        <w:pStyle w:val="ListParagraph"/>
      </w:pPr>
      <w:r>
        <w:t xml:space="preserve">• build adapters for at least three contrasting networks;</w:t>
      </w:r>
    </w:p>
    <w:p>
      <w:pPr>
        <w:pStyle w:val="ListParagraph"/>
      </w:pPr>
      <w:r>
        <w:t xml:space="preserve">• establish archival data and deterministic index pipelines;</w:t>
      </w:r>
    </w:p>
    <w:p>
      <w:pPr>
        <w:pStyle w:val="ListParagraph"/>
      </w:pPr>
      <w:r>
        <w:t xml:space="preserve">• implement initial PoV, OPI, DLI, PII, RWAI and ERI registries;</w:t>
      </w:r>
    </w:p>
    <w:p>
      <w:pPr>
        <w:pStyle w:val="ListParagraph"/>
      </w:pPr>
      <w:r>
        <w:t xml:space="preserve">• publish raw observations and calculation manifests;</w:t>
      </w:r>
    </w:p>
    <w:p>
      <w:pPr>
        <w:pStyle w:val="ListParagraph"/>
      </w:pPr>
      <w:r>
        <w:t xml:space="preserve">• create automated tests and adapter fixtures;</w:t>
      </w:r>
    </w:p>
    <w:p>
      <w:pPr>
        <w:pStyle w:val="ListParagraph"/>
      </w:pPr>
      <w:r>
        <w:t xml:space="preserve">• launch a research-only VoxUI prototype.</w:t>
      </w:r>
    </w:p>
    <w:p>
      <w:pPr>
        <w:pStyle w:val="Normal"/>
      </w:pPr>
      <w:r>
        <w:t xml:space="preserve">Exit condition: independent operators reproduce the same test scores from the same snapshots.</w:t>
      </w:r>
    </w:p>
    <w:p>
      <w:pPr>
        <w:pStyle w:val="Heading2"/>
      </w:pPr>
      <w:r>
        <w:t xml:space="preserve">36.3 Phase 2 — Calibration and validation (6–12 months)</w:t>
      </w:r>
    </w:p>
    <w:p>
      <w:pPr>
        <w:pStyle w:val="Normal"/>
      </w:pPr>
      <w:r>
        <w:t xml:space="preserve">Objective: calibrate benchmarks without overfitting and identify metric defects.</w:t>
      </w:r>
    </w:p>
    <w:p>
      <w:pPr>
        <w:pStyle w:val="Normal"/>
      </w:pPr>
      <w:r>
        <w:t xml:space="preserve">Deliverables:</w:t>
      </w:r>
    </w:p>
    <w:p>
      <w:pPr>
        <w:pStyle w:val="ListParagraph"/>
      </w:pPr>
      <w:r>
        <w:t xml:space="preserve">• extend the sample across proof-of-work, proof-of-stake, rollup and application-chain architectures;</w:t>
      </w:r>
    </w:p>
    <w:p>
      <w:pPr>
        <w:pStyle w:val="ListParagraph"/>
      </w:pPr>
      <w:r>
        <w:t xml:space="preserve">• conduct historical event studies;</w:t>
      </w:r>
    </w:p>
    <w:p>
      <w:pPr>
        <w:pStyle w:val="ListParagraph"/>
      </w:pPr>
      <w:r>
        <w:t xml:space="preserve">• perform correlation, redundancy and sensitivity analysis;</w:t>
      </w:r>
    </w:p>
    <w:p>
      <w:pPr>
        <w:pStyle w:val="ListParagraph"/>
      </w:pPr>
      <w:r>
        <w:t xml:space="preserve">• calibrate benchmark anchors and smoothing windows;</w:t>
      </w:r>
    </w:p>
    <w:p>
      <w:pPr>
        <w:pStyle w:val="ListParagraph"/>
      </w:pPr>
      <w:r>
        <w:t xml:space="preserve">• publish the first VCS methodology and confidence reports;</w:t>
      </w:r>
    </w:p>
    <w:p>
      <w:pPr>
        <w:pStyle w:val="ListParagraph"/>
      </w:pPr>
      <w:r>
        <w:t xml:space="preserve">• commission independent economic and data audits.</w:t>
      </w:r>
    </w:p>
    <w:p>
      <w:pPr>
        <w:pStyle w:val="Normal"/>
      </w:pPr>
      <w:r>
        <w:t xml:space="preserve">Exit condition: methodology version 3.1.0 produces stable, interpretable results across the validation set.</w:t>
      </w:r>
    </w:p>
    <w:p>
      <w:pPr>
        <w:pStyle w:val="Heading2"/>
      </w:pPr>
      <w:r>
        <w:t xml:space="preserve">36.4 Phase 3 — Public measurement network (12–18 months)</w:t>
      </w:r>
    </w:p>
    <w:p>
      <w:pPr>
        <w:pStyle w:val="Normal"/>
      </w:pPr>
      <w:r>
        <w:t xml:space="preserve">Objective: operate Voxonomics as a public, continuously updated measurement standard.</w:t>
      </w:r>
    </w:p>
    <w:p>
      <w:pPr>
        <w:pStyle w:val="Normal"/>
      </w:pPr>
      <w:r>
        <w:t xml:space="preserve">Deliverables:</w:t>
      </w:r>
    </w:p>
    <w:p>
      <w:pPr>
        <w:pStyle w:val="ListParagraph"/>
      </w:pPr>
      <w:r>
        <w:t xml:space="preserve">• certify production adapters;</w:t>
      </w:r>
    </w:p>
    <w:p>
      <w:pPr>
        <w:pStyle w:val="ListParagraph"/>
      </w:pPr>
      <w:r>
        <w:t xml:space="preserve">• launch public API and bulk datasets;</w:t>
      </w:r>
    </w:p>
    <w:p>
      <w:pPr>
        <w:pStyle w:val="ListParagraph"/>
      </w:pPr>
      <w:r>
        <w:t xml:space="preserve">• publish ERU and official VTS histories;</w:t>
      </w:r>
    </w:p>
    <w:p>
      <w:pPr>
        <w:pStyle w:val="ListParagraph"/>
      </w:pPr>
      <w:r>
        <w:t xml:space="preserve">• add VRI, Opportunity Gap, VRS and VCS dashboards;</w:t>
      </w:r>
    </w:p>
    <w:p>
      <w:pPr>
        <w:pStyle w:val="ListParagraph"/>
      </w:pPr>
      <w:r>
        <w:t xml:space="preserve">• establish dispute resolution and correction workflows;</w:t>
      </w:r>
    </w:p>
    <w:p>
      <w:pPr>
        <w:pStyle w:val="ListParagraph"/>
      </w:pPr>
      <w:r>
        <w:t xml:space="preserve">• publish quarterly methodology and system reports.</w:t>
      </w:r>
    </w:p>
    <w:p>
      <w:pPr>
        <w:pStyle w:val="Normal"/>
      </w:pPr>
      <w:r>
        <w:t xml:space="preserve">Exit condition: official results meet coverage, confidence, reproducibility and governance requirements.</w:t>
      </w:r>
    </w:p>
    <w:p>
      <w:pPr>
        <w:pStyle w:val="Heading2"/>
      </w:pPr>
      <w:r>
        <w:t xml:space="preserve">36.5 Phase 4 — DAO genesis (18–24 months)</w:t>
      </w:r>
    </w:p>
    <w:p>
      <w:pPr>
        <w:pStyle w:val="Normal"/>
      </w:pPr>
      <w:r>
        <w:t xml:space="preserve">Objective: transfer standard-setting and treasury functions to decentralised governance.</w:t>
      </w:r>
    </w:p>
    <w:p>
      <w:pPr>
        <w:pStyle w:val="Normal"/>
      </w:pPr>
      <w:r>
        <w:t xml:space="preserve">Deliverables:</w:t>
      </w:r>
    </w:p>
    <w:p>
      <w:pPr>
        <w:pStyle w:val="ListParagraph"/>
      </w:pPr>
      <w:r>
        <w:t xml:space="preserve">• deploy governance contracts and timelocks;</w:t>
      </w:r>
    </w:p>
    <w:p>
      <w:pPr>
        <w:pStyle w:val="ListParagraph"/>
      </w:pPr>
      <w:r>
        <w:t xml:space="preserve">• elect or form technical and audit bodies;</w:t>
      </w:r>
    </w:p>
    <w:p>
      <w:pPr>
        <w:pStyle w:val="ListParagraph"/>
      </w:pPr>
      <w:r>
        <w:t xml:space="preserve">• fund open-source adapters and research;</w:t>
      </w:r>
    </w:p>
    <w:p>
      <w:pPr>
        <w:pStyle w:val="ListParagraph"/>
      </w:pPr>
      <w:r>
        <w:t xml:space="preserve">• activate conflict disclosure and delegate reporting;</w:t>
      </w:r>
    </w:p>
    <w:p>
      <w:pPr>
        <w:pStyle w:val="ListParagraph"/>
      </w:pPr>
      <w:r>
        <w:t xml:space="preserve">• test emergency and version-upgrade procedures;</w:t>
      </w:r>
    </w:p>
    <w:p>
      <w:pPr>
        <w:pStyle w:val="ListParagraph"/>
      </w:pPr>
      <w:r>
        <w:t xml:space="preserve">• preserve an independent reproducible fallback of the last valid standard.</w:t>
      </w:r>
    </w:p>
    <w:p>
      <w:pPr>
        <w:pStyle w:val="Normal"/>
      </w:pPr>
      <w:r>
        <w:t xml:space="preserve">Exit condition: governance executes at least one complete non-critical versioned update successfully.</w:t>
      </w:r>
    </w:p>
    <w:p>
      <w:pPr>
        <w:pStyle w:val="Heading2"/>
      </w:pPr>
      <w:r>
        <w:t xml:space="preserve">36.6 Phase 5 — Index V-FOREX (24–30 months)</w:t>
      </w:r>
    </w:p>
    <w:p>
      <w:pPr>
        <w:pStyle w:val="Normal"/>
      </w:pPr>
      <w:r>
        <w:t xml:space="preserve">Objective: launch non-tokenised VTS pair references.</w:t>
      </w:r>
    </w:p>
    <w:p>
      <w:pPr>
        <w:pStyle w:val="Normal"/>
      </w:pPr>
      <w:r>
        <w:t xml:space="preserve">Deliverables:</w:t>
      </w:r>
    </w:p>
    <w:p>
      <w:pPr>
        <w:pStyle w:val="ListParagraph"/>
      </w:pPr>
      <w:r>
        <w:t xml:space="preserve">• publish all eligible VTS/VTS reference pairs;</w:t>
      </w:r>
    </w:p>
    <w:p>
      <w:pPr>
        <w:pStyle w:val="ListParagraph"/>
      </w:pPr>
      <w:r>
        <w:t xml:space="preserve">• create historical pair charts and benchmark indices;</w:t>
      </w:r>
    </w:p>
    <w:p>
      <w:pPr>
        <w:pStyle w:val="ListParagraph"/>
      </w:pPr>
      <w:r>
        <w:t xml:space="preserve">• test stale-rate, dispute and suspension rules;</w:t>
      </w:r>
    </w:p>
    <w:p>
      <w:pPr>
        <w:pStyle w:val="ListParagraph"/>
      </w:pPr>
      <w:r>
        <w:t xml:space="preserve">• support research integrations and simulated portfolios;</w:t>
      </w:r>
    </w:p>
    <w:p>
      <w:pPr>
        <w:pStyle w:val="ListParagraph"/>
      </w:pPr>
      <w:r>
        <w:t xml:space="preserve">• conduct manipulation and economic-incentive analysis.</w:t>
      </w:r>
    </w:p>
    <w:p>
      <w:pPr>
        <w:pStyle w:val="Normal"/>
      </w:pPr>
      <w:r>
        <w:t xml:space="preserve">Exit condition: reference rates operate reliably without dependency on a tradable VOX asset.</w:t>
      </w:r>
    </w:p>
    <w:p>
      <w:pPr>
        <w:pStyle w:val="Heading2"/>
      </w:pPr>
      <w:r>
        <w:t xml:space="preserve">36.7 Phase 6 — Optional VOX sandbox (30–42 months)</w:t>
      </w:r>
    </w:p>
    <w:p>
      <w:pPr>
        <w:pStyle w:val="Normal"/>
      </w:pPr>
      <w:r>
        <w:t xml:space="preserve">Objective: evaluate tokenised VOX in a controlled environment.</w:t>
      </w:r>
    </w:p>
    <w:p>
      <w:pPr>
        <w:pStyle w:val="Normal"/>
      </w:pPr>
      <w:r>
        <w:t xml:space="preserve">Deliverables:</w:t>
      </w:r>
    </w:p>
    <w:p>
      <w:pPr>
        <w:pStyle w:val="ListParagraph"/>
      </w:pPr>
      <w:r>
        <w:t xml:space="preserve">• formalise indexed-balance supply contracts;</w:t>
      </w:r>
    </w:p>
    <w:p>
      <w:pPr>
        <w:pStyle w:val="ListParagraph"/>
      </w:pPr>
      <w:r>
        <w:t xml:space="preserve">• complete independent code, economic and legal audits;</w:t>
      </w:r>
    </w:p>
    <w:p>
      <w:pPr>
        <w:pStyle w:val="ListParagraph"/>
      </w:pPr>
      <w:r>
        <w:t xml:space="preserve">• run closed and public test networks;</w:t>
      </w:r>
    </w:p>
    <w:p>
      <w:pPr>
        <w:pStyle w:val="ListParagraph"/>
      </w:pPr>
      <w:r>
        <w:t xml:space="preserve">• simulate contraction, bridge, exchange and collateral scenarios;</w:t>
      </w:r>
    </w:p>
    <w:p>
      <w:pPr>
        <w:pStyle w:val="ListParagraph"/>
      </w:pPr>
      <w:r>
        <w:t xml:space="preserve">• define activation and safe-mode thresholds;</w:t>
      </w:r>
    </w:p>
    <w:p>
      <w:pPr>
        <w:pStyle w:val="ListParagraph"/>
      </w:pPr>
      <w:r>
        <w:t xml:space="preserve">• publish token distribution and governance design.</w:t>
      </w:r>
    </w:p>
    <w:p>
      <w:pPr>
        <w:pStyle w:val="Normal"/>
      </w:pPr>
      <w:r>
        <w:t xml:space="preserve">Exit condition: no production activation until all constitutional thresholds and audits are satisfied.</w:t>
      </w:r>
    </w:p>
    <w:p>
      <w:pPr>
        <w:pStyle w:val="Heading2"/>
      </w:pPr>
      <w:r>
        <w:t xml:space="preserve">36.8 Phase 7 — Limited production activation (42–60 months)</w:t>
      </w:r>
    </w:p>
    <w:p>
      <w:pPr>
        <w:pStyle w:val="Normal"/>
      </w:pPr>
      <w:r>
        <w:t xml:space="preserve">Objective: activate optional economic components gradually where justified.</w:t>
      </w:r>
    </w:p>
    <w:p>
      <w:pPr>
        <w:pStyle w:val="Normal"/>
      </w:pPr>
      <w:r>
        <w:t xml:space="preserve">Deliverables:</w:t>
      </w:r>
    </w:p>
    <w:p>
      <w:pPr>
        <w:pStyle w:val="ListParagraph"/>
      </w:pPr>
      <w:r>
        <w:t xml:space="preserve">• start with a small number of high-confidence networks;</w:t>
      </w:r>
    </w:p>
    <w:p>
      <w:pPr>
        <w:pStyle w:val="ListParagraph"/>
      </w:pPr>
      <w:r>
        <w:t xml:space="preserve">• apply issuance and market exposure caps;</w:t>
      </w:r>
    </w:p>
    <w:p>
      <w:pPr>
        <w:pStyle w:val="ListParagraph"/>
      </w:pPr>
      <w:r>
        <w:t xml:space="preserve">• establish transparent liquidity and market surveillance;</w:t>
      </w:r>
    </w:p>
    <w:p>
      <w:pPr>
        <w:pStyle w:val="ListParagraph"/>
      </w:pPr>
      <w:r>
        <w:t xml:space="preserve">• prohibit broad collateral use during the initial period;</w:t>
      </w:r>
    </w:p>
    <w:p>
      <w:pPr>
        <w:pStyle w:val="ListParagraph"/>
      </w:pPr>
      <w:r>
        <w:t xml:space="preserve">• publish continuous risk, concentration and manipulation reports;</w:t>
      </w:r>
    </w:p>
    <w:p>
      <w:pPr>
        <w:pStyle w:val="ListParagraph"/>
      </w:pPr>
      <w:r>
        <w:t xml:space="preserve">• retain governance-controlled rollback to measurement-only mode.</w:t>
      </w:r>
    </w:p>
    <w:p>
      <w:pPr>
        <w:pStyle w:val="Normal"/>
      </w:pPr>
      <w:r>
        <w:t xml:space="preserve">Exit condition: sustained safe operation under normal and stress conditions.</w:t>
      </w:r>
    </w:p>
    <w:p>
      <w:pPr>
        <w:pStyle w:val="Heading2"/>
      </w:pPr>
      <w:r>
        <w:t xml:space="preserve">36.9 Phase 8 — Global standard and optional coordination chain</w:t>
      </w:r>
    </w:p>
    <w:p>
      <w:pPr>
        <w:pStyle w:val="Normal"/>
      </w:pPr>
      <w:r>
        <w:t xml:space="preserve">A dedicated coordination chain may later host governance, signed snapshots, adapter registries, disputes and cross-chain clearing. It is optional. The framework must not depend on a new chain merely to remain measurable or open.</w:t>
      </w:r>
    </w:p>
    <w:p>
      <w:pPr>
        <w:pStyle w:val="Normal"/>
      </w:pPr>
      <w:r>
        <w:t xml:space="preserve">Long-term extensions may include:</w:t>
      </w:r>
    </w:p>
    <w:p>
      <w:pPr>
        <w:pStyle w:val="ListParagraph"/>
      </w:pPr>
      <w:r>
        <w:t xml:space="preserve">• VTS-indexed research products;</w:t>
      </w:r>
    </w:p>
    <w:p>
      <w:pPr>
        <w:pStyle w:val="ListParagraph"/>
      </w:pPr>
      <w:r>
        <w:t xml:space="preserve">• network economic accounts;</w:t>
      </w:r>
    </w:p>
    <w:p>
      <w:pPr>
        <w:pStyle w:val="ListParagraph"/>
      </w:pPr>
      <w:r>
        <w:t xml:space="preserve">• risk-adjusted lending limits;</w:t>
      </w:r>
    </w:p>
    <w:p>
      <w:pPr>
        <w:pStyle w:val="ListParagraph"/>
      </w:pPr>
      <w:r>
        <w:t xml:space="preserve">• public-sector and institutional data integrations;</w:t>
      </w:r>
    </w:p>
    <w:p>
      <w:pPr>
        <w:pStyle w:val="ListParagraph"/>
      </w:pPr>
      <w:r>
        <w:t xml:space="preserve">• automated cross-chain settlement;</w:t>
      </w:r>
    </w:p>
    <w:p>
      <w:pPr>
        <w:pStyle w:val="ListParagraph"/>
      </w:pPr>
      <w:r>
        <w:t xml:space="preserve">• network economic stress testing;</w:t>
      </w:r>
    </w:p>
    <w:p>
      <w:pPr>
        <w:pStyle w:val="ListParagraph"/>
      </w:pPr>
      <w:r>
        <w:t xml:space="preserve">• open academic datasets and annual standards review.</w:t>
      </w:r>
    </w:p>
    <w:p>
      <w:pPr>
        <w:pStyle w:val="Normal"/>
      </w:pPr>
      <w:r>
        <w:t xml:space="preserve">Part IX — Evidence Infrastructure and Distributed Nodes</w:t>
      </w:r>
    </w:p>
    <w:p>
      <w:pPr>
        <w:pStyle w:val="Heading1"/>
        <w:pageBreakBefore/>
      </w:pPr>
      <w:r>
        <w:t xml:space="preserve">37. Canonical Evidence Architecture</w:t>
      </w:r>
    </w:p>
    <w:p>
      <w:pPr>
        <w:pStyle w:val="Heading2"/>
      </w:pPr>
      <w:r>
        <w:t xml:space="preserve">37.1 Purpose and constitutional relation</w:t>
      </w:r>
    </w:p>
    <w:p>
      <w:pPr>
        <w:pStyle w:val="Normal"/>
      </w:pPr>
      <w:r>
        <w:t xml:space="preserve">Edition 3.1 established verifiability as a constitutional rule. Edition 3.2 defines the evidence architecture required to enforce that rule operationally. The purpose is not to create a second measurement methodology; it is to ensure that every canonical value can be traced, reproduced, challenged and preserved without relying on an opaque database or a single operator.</w:t>
      </w:r>
    </w:p>
    <w:p>
      <w:pPr>
        <w:pStyle w:val="Normal"/>
      </w:pPr>
      <w:r>
        <w:t xml:space="preserve">The governing rule is simple: every published Voxonomics value must be provable back to authoritative source evidence. The required source may be a public blockchain or an authoritative external dataset, depending on the canonical metric definition. The provenance standard must identify which case applies.</w:t>
      </w:r>
    </w:p>
    <w:p>
      <w:pPr>
        <w:pStyle w:val="Heading2"/>
      </w:pPr>
      <w:r>
        <w:t xml:space="preserve">37.2 Canonical evidence chain</w:t>
      </w:r>
    </w:p>
    <w:p>
      <w:pPr>
        <w:pStyle w:val="Normal"/>
      </w:pPr>
      <w:r>
        <w:t xml:space="preserve">For blockchain-derived measurements, the complete audit path is:</w:t>
      </w:r>
    </w:p>
    <w:p>
      <w:pPr>
        <w:pStyle w:val="Normal"/>
      </w:pPr>
      <w:r>
        <w:t xml:space="preserve">published output → parent index → submetric → canonical measurement → observation → preserved evidence package → block/slot/transaction/log/account-state coordinate → network/source/query/endpoint → retrieval and provenance</w:t>
      </w:r>
    </w:p>
    <w:p>
      <w:pPr>
        <w:pStyle w:val="Normal"/>
      </w:pPr>
      <w:r>
        <w:t xml:space="preserve">The production path runs in the opposite direction. A value presented by VoxUI, a public API, a signed manifest or a research export is therefore a view over an evidence chain, not the end of that chain.</w:t>
      </w:r>
    </w:p>
    <w:p>
      <w:pPr>
        <w:pStyle w:val="Heading2"/>
      </w:pPr>
      <w:r>
        <w:t xml:space="preserve">37.3 Blockchain-derived evidence</w:t>
      </w:r>
    </w:p>
    <w:p>
      <w:pPr>
        <w:pStyle w:val="Normal"/>
      </w:pPr>
      <w:r>
        <w:t xml:space="preserve">Blockchain-derived evidence must identify the network and the finest authoritative coordinate reasonably required by the metric: for example a block, slot, transaction, receipt, event log, account-state snapshot, consensus record, governance event or deterministic range. Evidence packages must preserve enough source material and context to reproduce the canonical observation under the declared adapter and methodology version.</w:t>
      </w:r>
    </w:p>
    <w:p>
      <w:pPr>
        <w:pStyle w:val="Normal"/>
      </w:pPr>
      <w:r>
        <w:t xml:space="preserve">A provider response is not automatically equivalent to primary chain evidence. Where a provider supplies derived or indexed data, provenance must state the upstream basis and whether the result can be deterministically checked against chain state. Source quality and independence continue to affect VCS under the existing framework.</w:t>
      </w:r>
    </w:p>
    <w:p>
      <w:pPr>
        <w:pStyle w:val="Heading2"/>
      </w:pPr>
      <w:r>
        <w:t xml:space="preserve">37.4 Authoritative external evidence</w:t>
      </w:r>
    </w:p>
    <w:p>
      <w:pPr>
        <w:pStyle w:val="Normal"/>
      </w:pPr>
      <w:r>
        <w:t xml:space="preserve">Some canonical inputs, particularly within real-world adoption, security, legal, institutional or macroeconomic contexts, may rely on authoritative external evidence. Edition 3.2 does not pretend those facts are on-chain. Instead, the same audit discipline applies: the preserved package identifies the authoritative source, source range or record, retrieval time, query or acquisition method, source version, transformation and provenance.</w:t>
      </w:r>
    </w:p>
    <w:p>
      <w:pPr>
        <w:pStyle w:val="Normal"/>
      </w:pPr>
      <w:r>
        <w:t xml:space="preserve">The requirement is authoritative traceability, not artificial on-chain placement. Publishing a hash of an external document on-chain may timestamp a commitment, but it does not transform that document into on-chain source evidence and does not remove the requirement to preserve or lawfully reacquire the underlying material.</w:t>
      </w:r>
    </w:p>
    <w:p>
      <w:pPr>
        <w:pStyle w:val="Heading2"/>
      </w:pPr>
      <w:r>
        <w:t xml:space="preserve">37.5 Logical and physical storage</w:t>
      </w:r>
    </w:p>
    <w:p>
      <w:pPr>
        <w:pStyle w:val="Normal"/>
      </w:pPr>
      <w:r>
        <w:t xml:space="preserve">Canonical evidence is a logical object. Its physical representation may change for efficiency—for example from active files into compressed sealed parts, packs, indexed objects or content-addressed storage—provided the representation remains readable through a documented access/decoder boundary and preserves semantic equivalence.</w:t>
      </w:r>
    </w:p>
    <w:p>
      <w:pPr>
        <w:pStyle w:val="Heading2"/>
      </w:pPr>
      <w:r>
        <w:t xml:space="preserve">37.6 Semantic equivalence</w:t>
      </w:r>
    </w:p>
    <w:p>
      <w:pPr>
        <w:pStyle w:val="Normal"/>
      </w:pPr>
      <w:r>
        <w:t xml:space="preserve">A replacement representation is semantically equivalent only when it preserves the fields and relationships required by the canonical method, including identifiers, addresses, inclusion or exclusion state, values, meaningful ordering, collection semantics, calculation inputs and provenance. Successful decompression alone is not proof of semantic equivalence.</w:t>
      </w:r>
    </w:p>
    <w:p>
      <w:pPr>
        <w:pStyle w:val="Heading1"/>
        <w:pageBreakBefore/>
      </w:pPr>
      <w:r>
        <w:t xml:space="preserve">38. Evidence Lifecycle and Retirement Governance</w:t>
      </w:r>
    </w:p>
    <w:p>
      <w:pPr>
        <w:pStyle w:val="Heading2"/>
      </w:pPr>
      <w:r>
        <w:t xml:space="preserve">38.1 Storage and evidence states</w:t>
      </w:r>
    </w:p>
    <w:p>
      <w:pPr>
        <w:pStyle w:val="Normal"/>
      </w:pPr>
      <w:r>
        <w:t xml:space="preserve">Edition 3.2 distinguishes analytical use from preservation. A datum may leave the live analytical window while remaining necessary for historical reproduction, dispute resolution or certification. The following states describe purpose, not merely age or directory location:</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State</w:t>
            </w:r>
          </w:p>
        </w:tc>
        <w:tc>
          <w:tcPr>
            <w:tcW w:w="4550" w:type="dxa"/>
          </w:tcPr>
          <w:p>
            <w:pPr>
              <w:pStyle w:val="TableHeader"/>
            </w:pPr>
            <w:r>
              <w:t xml:space="preserve">Meaning</w:t>
            </w:r>
          </w:p>
        </w:tc>
      </w:tr>
      <w:tr>
        <w:trPr>
          <w:cantSplit/>
        </w:trPr>
        <w:tc>
          <w:tcPr>
            <w:tcW w:w="4550" w:type="dxa"/>
          </w:tcPr>
          <w:p>
            <w:pPr>
              <w:pStyle w:val="TableText"/>
            </w:pPr>
            <w:r>
              <w:t xml:space="preserve">Active analytical material</w:t>
            </w:r>
          </w:p>
        </w:tc>
        <w:tc>
          <w:tcPr>
            <w:tcW w:w="4550" w:type="dxa"/>
          </w:tcPr>
          <w:p>
            <w:pPr>
              <w:pStyle w:val="TableText"/>
            </w:pPr>
            <w:r>
              <w:t xml:space="preserve">Evidence and derived state currently required by the live measurement window</w:t>
            </w:r>
          </w:p>
        </w:tc>
      </w:tr>
      <w:tr>
        <w:trPr>
          <w:cantSplit/>
        </w:trPr>
        <w:tc>
          <w:tcPr>
            <w:tcW w:w="4550" w:type="dxa"/>
          </w:tcPr>
          <w:p>
            <w:pPr>
              <w:pStyle w:val="TableText"/>
            </w:pPr>
            <w:r>
              <w:t xml:space="preserve">Live operational material</w:t>
            </w:r>
          </w:p>
        </w:tc>
        <w:tc>
          <w:tcPr>
            <w:tcW w:w="4550" w:type="dxa"/>
          </w:tcPr>
          <w:p>
            <w:pPr>
              <w:pStyle w:val="TableText"/>
            </w:pPr>
            <w:r>
              <w:t xml:space="preserve">Collector journals, queues, caches and working representations needed for safe operation</w:t>
            </w:r>
          </w:p>
        </w:tc>
      </w:tr>
      <w:tr>
        <w:trPr>
          <w:cantSplit/>
        </w:trPr>
        <w:tc>
          <w:tcPr>
            <w:tcW w:w="4550" w:type="dxa"/>
          </w:tcPr>
          <w:p>
            <w:pPr>
              <w:pStyle w:val="TableText"/>
            </w:pPr>
            <w:r>
              <w:t xml:space="preserve">Preserved source evidence</w:t>
            </w:r>
          </w:p>
        </w:tc>
        <w:tc>
          <w:tcPr>
            <w:tcW w:w="4550" w:type="dxa"/>
          </w:tcPr>
          <w:p>
            <w:pPr>
              <w:pStyle w:val="TableText"/>
            </w:pPr>
            <w:r>
              <w:t xml:space="preserve">Authoritative evidence retained for reproduction, verification, audit or historical continuity</w:t>
            </w:r>
          </w:p>
        </w:tc>
      </w:tr>
      <w:tr>
        <w:trPr>
          <w:cantSplit/>
        </w:trPr>
        <w:tc>
          <w:tcPr>
            <w:tcW w:w="4550" w:type="dxa"/>
          </w:tcPr>
          <w:p>
            <w:pPr>
              <w:pStyle w:val="TableText"/>
            </w:pPr>
            <w:r>
              <w:t xml:space="preserve">Sealed historical evidence</w:t>
            </w:r>
          </w:p>
        </w:tc>
        <w:tc>
          <w:tcPr>
            <w:tcW w:w="4550" w:type="dxa"/>
          </w:tcPr>
          <w:p>
            <w:pPr>
              <w:pStyle w:val="TableText"/>
            </w:pPr>
            <w:r>
              <w:t xml:space="preserve">Immutable or append-closed evidence parts that have completed verification</w:t>
            </w:r>
          </w:p>
        </w:tc>
      </w:tr>
      <w:tr>
        <w:trPr>
          <w:cantSplit/>
        </w:trPr>
        <w:tc>
          <w:tcPr>
            <w:tcW w:w="4550" w:type="dxa"/>
          </w:tcPr>
          <w:p>
            <w:pPr>
              <w:pStyle w:val="TableText"/>
            </w:pPr>
            <w:r>
              <w:t xml:space="preserve">Deterministically reconstructable derived material</w:t>
            </w:r>
          </w:p>
        </w:tc>
        <w:tc>
          <w:tcPr>
            <w:tcW w:w="4550" w:type="dxa"/>
          </w:tcPr>
          <w:p>
            <w:pPr>
              <w:pStyle w:val="TableText"/>
            </w:pPr>
            <w:r>
              <w:t xml:space="preserve">Derived data that can be regenerated from surviving authoritative evidence under a specified version</w:t>
            </w:r>
          </w:p>
        </w:tc>
      </w:tr>
      <w:tr>
        <w:trPr>
          <w:cantSplit/>
        </w:trPr>
        <w:tc>
          <w:tcPr>
            <w:tcW w:w="4550" w:type="dxa"/>
          </w:tcPr>
          <w:p>
            <w:pPr>
              <w:pStyle w:val="TableText"/>
            </w:pPr>
            <w:r>
              <w:t xml:space="preserve">Staged / pending</w:t>
            </w:r>
          </w:p>
        </w:tc>
        <w:tc>
          <w:tcPr>
            <w:tcW w:w="4550" w:type="dxa"/>
          </w:tcPr>
          <w:p>
            <w:pPr>
              <w:pStyle w:val="TableText"/>
            </w:pPr>
            <w:r>
              <w:t xml:space="preserve">Material not yet sealed and therefore not eligible for retirement decisions</w:t>
            </w:r>
          </w:p>
        </w:tc>
      </w:tr>
      <w:tr>
        <w:trPr>
          <w:cantSplit/>
        </w:trPr>
        <w:tc>
          <w:tcPr>
            <w:tcW w:w="4550" w:type="dxa"/>
          </w:tcPr>
          <w:p>
            <w:pPr>
              <w:pStyle w:val="TableText"/>
            </w:pPr>
            <w:r>
              <w:t xml:space="preserve">Historically irreplaceable</w:t>
            </w:r>
          </w:p>
        </w:tc>
        <w:tc>
          <w:tcPr>
            <w:tcW w:w="4550" w:type="dxa"/>
          </w:tcPr>
          <w:p>
            <w:pPr>
              <w:pStyle w:val="TableText"/>
            </w:pPr>
            <w:r>
              <w:t xml:space="preserve">Evidence whose authoritative upstream source has pruned, expired or otherwise become unavailable</w:t>
            </w:r>
          </w:p>
        </w:tc>
      </w:tr>
      <w:tr>
        <w:trPr>
          <w:cantSplit/>
        </w:trPr>
        <w:tc>
          <w:tcPr>
            <w:tcW w:w="4550" w:type="dxa"/>
          </w:tcPr>
          <w:p>
            <w:pPr>
              <w:pStyle w:val="TableText"/>
            </w:pPr>
            <w:r>
              <w:t xml:space="preserve">UNKNOWN reconstructability</w:t>
            </w:r>
          </w:p>
        </w:tc>
        <w:tc>
          <w:tcPr>
            <w:tcW w:w="4550" w:type="dxa"/>
          </w:tcPr>
          <w:p>
            <w:pPr>
              <w:pStyle w:val="TableText"/>
            </w:pPr>
            <w:r>
              <w:t xml:space="preserve">Material whose safe reconstruction status has not been proven; it must be retained</w:t>
            </w:r>
          </w:p>
        </w:tc>
      </w:tr>
    </w:tbl>
    <w:p>
      <w:pPr>
        <w:pStyle w:val="Heading2"/>
      </w:pPr>
      <w:r>
        <w:t xml:space="preserve">38.2 Lifecycle: STAGE → SEAL → VERIFY → RELEASE</w:t>
      </w:r>
    </w:p>
    <w:p>
      <w:pPr>
        <w:pStyle w:val="Normal"/>
      </w:pPr>
      <w:r>
        <w:t xml:space="preserve">Evidence moves through a governed lifecycle:</w:t>
      </w:r>
    </w:p>
    <w:p>
      <w:pPr>
        <w:pStyle w:val="ListParagraph"/>
      </w:pPr>
      <w:r>
        <w:t xml:space="preserve">• STAGE — write the candidate representation and its provenance without treating it as authoritative replacement;</w:t>
      </w:r>
    </w:p>
    <w:p>
      <w:pPr>
        <w:pStyle w:val="ListParagraph"/>
      </w:pPr>
      <w:r>
        <w:t xml:space="preserve">• SEAL — close the defined item or range against further mutation and assign stable identity, range and manifest;</w:t>
      </w:r>
    </w:p>
    <w:p>
      <w:pPr>
        <w:pStyle w:val="ListParagraph"/>
      </w:pPr>
      <w:r>
        <w:t xml:space="preserve">• VERIFY — prove readability, integrity, provenance continuity and semantic sufficiency for the required reproduction;</w:t>
      </w:r>
    </w:p>
    <w:p>
      <w:pPr>
        <w:pStyle w:val="ListParagraph"/>
      </w:pPr>
      <w:r>
        <w:t xml:space="preserve">• RELEASE — mark a prior transient representation as potentially eligible for retirement assessment.</w:t>
      </w:r>
    </w:p>
    <w:p>
      <w:pPr>
        <w:pStyle w:val="Normal"/>
      </w:pPr>
      <w:r>
        <w:t xml:space="preserve">RELEASE does not mean delete. It changes eligibility only. The prior representation remains until the independent evidence-retirement conditions are satisfied.</w:t>
      </w:r>
    </w:p>
    <w:p>
      <w:pPr>
        <w:pStyle w:val="Heading2"/>
      </w:pPr>
      <w:r>
        <w:t xml:space="preserve">38.3 Evidence retirement eligibility</w:t>
      </w:r>
    </w:p>
    <w:p>
      <w:pPr>
        <w:pStyle w:val="Normal"/>
      </w:pPr>
      <w:r>
        <w:t xml:space="preserve">No evidence is retired merely because it is old, large, duplicated in appearance or outside the active analytical window. An item or range becomes eligible only when all applicable conditions are proven:</w:t>
      </w:r>
    </w:p>
    <w:p>
      <w:pPr>
        <w:pStyle w:val="ListParagraph"/>
      </w:pPr>
      <w:r>
        <w:t xml:space="preserve">• it is outside the active operational or analytical need declared by policy;</w:t>
      </w:r>
    </w:p>
    <w:p>
      <w:pPr>
        <w:pStyle w:val="ListParagraph"/>
      </w:pPr>
      <w:r>
        <w:t xml:space="preserve">• it is not the only surviving evidence behind a retained observation or publication;</w:t>
      </w:r>
    </w:p>
    <w:p>
      <w:pPr>
        <w:pStyle w:val="ListParagraph"/>
      </w:pPr>
      <w:r>
        <w:t xml:space="preserve">• an authoritative surviving representation exists and is identifiable;</w:t>
      </w:r>
    </w:p>
    <w:p>
      <w:pPr>
        <w:pStyle w:val="ListParagraph"/>
      </w:pPr>
      <w:r>
        <w:t xml:space="preserve">• the surviving representation is readable and verified;</w:t>
      </w:r>
    </w:p>
    <w:p>
      <w:pPr>
        <w:pStyle w:val="ListParagraph"/>
      </w:pPr>
      <w:r>
        <w:t xml:space="preserve">• provenance continuity from the prior representation to the surviving representation is preserved;</w:t>
      </w:r>
    </w:p>
    <w:p>
      <w:pPr>
        <w:pStyle w:val="ListParagraph"/>
      </w:pPr>
      <w:r>
        <w:t xml:space="preserve">• the surviving representation is sufficient for the required reproduction or audit obligation;</w:t>
      </w:r>
    </w:p>
    <w:p>
      <w:pPr>
        <w:pStyle w:val="ListParagraph"/>
      </w:pPr>
      <w:r>
        <w:t xml:space="preserve">• no open dispute, recovery, certification, incident or audit requires the prior representation;</w:t>
      </w:r>
    </w:p>
    <w:p>
      <w:pPr>
        <w:pStyle w:val="ListParagraph"/>
      </w:pPr>
      <w:r>
        <w:t xml:space="preserve">• the governing evidence policy permits retirement for that class of material.</w:t>
      </w:r>
    </w:p>
    <w:p>
      <w:pPr>
        <w:pStyle w:val="Normal"/>
      </w:pPr>
      <w:r>
        <w:t xml:space="preserve">If any material condition is unknown, the decision fails closed: retain the evidence until the unknown is resolved.</w:t>
      </w:r>
    </w:p>
    <w:p>
      <w:pPr>
        <w:pStyle w:val="Heading2"/>
      </w:pPr>
      <w:r>
        <w:t xml:space="preserve">38.4 Item- and range-level decisions</w:t>
      </w:r>
    </w:p>
    <w:p>
      <w:pPr>
        <w:pStyle w:val="Normal"/>
      </w:pPr>
      <w:r>
        <w:t xml:space="preserve">Retirement eligibility applies to an identified evidence item or coordinate range, not to a directory simply because the directory is old. Mixed directories may contain eligible and ineligible evidence. Policies and tooling must therefore make range-aware decisions and must be able to explain the status of each retired population.</w:t>
      </w:r>
    </w:p>
    <w:p>
      <w:pPr>
        <w:pStyle w:val="Heading2"/>
      </w:pPr>
      <w:r>
        <w:t xml:space="preserve">38.5 Retirement audit record</w:t>
      </w:r>
    </w:p>
    <w:p>
      <w:pPr>
        <w:pStyle w:val="Normal"/>
      </w:pPr>
      <w:r>
        <w:t xml:space="preserve">Every completed retirement action records at minimum:</w:t>
      </w:r>
    </w:p>
    <w:p>
      <w:pPr>
        <w:pStyle w:val="ListParagraph"/>
      </w:pPr>
      <w:r>
        <w:t xml:space="preserve">• the evidence identity and coordinate/range;</w:t>
      </w:r>
    </w:p>
    <w:p>
      <w:pPr>
        <w:pStyle w:val="ListParagraph"/>
      </w:pPr>
      <w:r>
        <w:t xml:space="preserve">• the governing rule and policy version;</w:t>
      </w:r>
    </w:p>
    <w:p>
      <w:pPr>
        <w:pStyle w:val="ListParagraph"/>
      </w:pPr>
      <w:r>
        <w:t xml:space="preserve">• decision and execution time plus responsible process or operator;</w:t>
      </w:r>
    </w:p>
    <w:p>
      <w:pPr>
        <w:pStyle w:val="ListParagraph"/>
      </w:pPr>
      <w:r>
        <w:t xml:space="preserve">• reason for eligibility;</w:t>
      </w:r>
    </w:p>
    <w:p>
      <w:pPr>
        <w:pStyle w:val="ListParagraph"/>
      </w:pPr>
      <w:r>
        <w:t xml:space="preserve">• the surviving replacement identity, manifest and integrity hash where applicable;</w:t>
      </w:r>
    </w:p>
    <w:p>
      <w:pPr>
        <w:pStyle w:val="ListParagraph"/>
      </w:pPr>
      <w:r>
        <w:t xml:space="preserve">• verification result and provenance-continuity reference;</w:t>
      </w:r>
    </w:p>
    <w:p>
      <w:pPr>
        <w:pStyle w:val="ListParagraph"/>
      </w:pPr>
      <w:r>
        <w:t xml:space="preserve">• any exception, dispute or recovery linkage.</w:t>
      </w:r>
    </w:p>
    <w:p>
      <w:pPr>
        <w:pStyle w:val="Heading2"/>
      </w:pPr>
      <w:r>
        <w:t xml:space="preserve">38.6 Analytical window and preservation are separate</w:t>
      </w:r>
    </w:p>
    <w:p>
      <w:pPr>
        <w:pStyle w:val="Normal"/>
      </w:pPr>
      <w:r>
        <w:t xml:space="preserve">A thirty-day or other analytical window controls which observations enter a current calculation; it does not define how long source evidence must survive. Historical, source-pruned, dispute-relevant or certification-critical evidence may require preservation beyond the analytical window.</w:t>
      </w:r>
    </w:p>
    <w:p>
      <w:pPr>
        <w:pStyle w:val="Heading2"/>
      </w:pPr>
      <w:r>
        <w:t xml:space="preserve">38.7 Unknown means retain</w:t>
      </w:r>
    </w:p>
    <w:p>
      <w:pPr>
        <w:pStyle w:val="Normal"/>
      </w:pPr>
      <w:r>
        <w:t xml:space="preserve">Terms such as old, derived, archived, compressed, backed up or stored elsewhere do not prove reconstructability. UNKNOWN is a governed state. Until an authoritative replacement and reproduction path are proven, UNKNOWN material is not disposable.</w:t>
      </w:r>
    </w:p>
    <w:p>
      <w:pPr>
        <w:pStyle w:val="Heading1"/>
        <w:pageBreakBefore/>
      </w:pPr>
      <w:r>
        <w:t xml:space="preserve">39. Reproduction, Verification and Reconstructability</w:t>
      </w:r>
    </w:p>
    <w:p>
      <w:pPr>
        <w:pStyle w:val="Heading2"/>
      </w:pPr>
      <w:r>
        <w:t xml:space="preserve">39.1 Reproduction and verification are different claims</w:t>
      </w:r>
    </w:p>
    <w:p>
      <w:pPr>
        <w:pStyle w:val="Normal"/>
      </w:pPr>
      <w:r>
        <w:t xml:space="preserve">Reproduction means re-deriving the canonical observation, measurement or output from preserved authoritative evidence under the declared adapter and methodology versions. Verification may mean checking integrity, identity or agreement—for example comparing a digest against bytes held elsewhere. Verification can support reproduction, but it is not a substitute for it.</w:t>
      </w:r>
    </w:p>
    <w:p>
      <w:pPr>
        <w:pStyle w:val="Heading2"/>
      </w:pPr>
      <w:r>
        <w:t xml:space="preserve">39.2 A digest is not the evidence</w:t>
      </w:r>
    </w:p>
    <w:p>
      <w:pPr>
        <w:pStyle w:val="Normal"/>
      </w:pPr>
      <w:r>
        <w:t xml:space="preserve">A cryptographic digest proves only that independently held bytes match a commitment. If the bytes are gone, the digest cannot recreate them. A digest alone therefore cannot satisfy the Edition 3.1 §4.4 requirement that an official result be independently reproducible. Likewise, a derived database row or journal summary does not by itself prove that the source evidence may disappear.</w:t>
      </w:r>
    </w:p>
    <w:p>
      <w:pPr>
        <w:pStyle w:val="Heading2"/>
      </w:pPr>
      <w:r>
        <w:t xml:space="preserve">39.3 Reconstructability classes</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Class</w:t>
            </w:r>
          </w:p>
        </w:tc>
        <w:tc>
          <w:tcPr>
            <w:tcW w:w="4550" w:type="dxa"/>
          </w:tcPr>
          <w:p>
            <w:pPr>
              <w:pStyle w:val="TableHeader"/>
            </w:pPr>
            <w:r>
              <w:t xml:space="preserve">Retirement implication</w:t>
            </w:r>
          </w:p>
        </w:tc>
      </w:tr>
      <w:tr>
        <w:trPr>
          <w:cantSplit/>
        </w:trPr>
        <w:tc>
          <w:tcPr>
            <w:tcW w:w="4550" w:type="dxa"/>
          </w:tcPr>
          <w:p>
            <w:pPr>
              <w:pStyle w:val="TableText"/>
            </w:pPr>
            <w:r>
              <w:t xml:space="preserve">Directly preserved source</w:t>
            </w:r>
          </w:p>
        </w:tc>
        <w:tc>
          <w:tcPr>
            <w:tcW w:w="4550" w:type="dxa"/>
          </w:tcPr>
          <w:p>
            <w:pPr>
              <w:pStyle w:val="TableText"/>
            </w:pPr>
            <w:r>
              <w:t xml:space="preserve">Authoritative source evidence remains directly available within Voxonomics preservation</w:t>
            </w:r>
          </w:p>
        </w:tc>
      </w:tr>
      <w:tr>
        <w:trPr>
          <w:cantSplit/>
        </w:trPr>
        <w:tc>
          <w:tcPr>
            <w:tcW w:w="4550" w:type="dxa"/>
          </w:tcPr>
          <w:p>
            <w:pPr>
              <w:pStyle w:val="TableText"/>
            </w:pPr>
            <w:r>
              <w:t xml:space="preserve">Independently verified replacement representation</w:t>
            </w:r>
          </w:p>
        </w:tc>
        <w:tc>
          <w:tcPr>
            <w:tcW w:w="4550" w:type="dxa"/>
          </w:tcPr>
          <w:p>
            <w:pPr>
              <w:pStyle w:val="TableText"/>
            </w:pPr>
            <w:r>
              <w:t xml:space="preserve">A replacement has passed integrity, readability, provenance and semantic-equivalence checks</w:t>
            </w:r>
          </w:p>
        </w:tc>
      </w:tr>
      <w:tr>
        <w:trPr>
          <w:cantSplit/>
        </w:trPr>
        <w:tc>
          <w:tcPr>
            <w:tcW w:w="4550" w:type="dxa"/>
          </w:tcPr>
          <w:p>
            <w:pPr>
              <w:pStyle w:val="TableText"/>
            </w:pPr>
            <w:r>
              <w:t xml:space="preserve">Deterministically reconstructable derived material</w:t>
            </w:r>
          </w:p>
        </w:tc>
        <w:tc>
          <w:tcPr>
            <w:tcW w:w="4550" w:type="dxa"/>
          </w:tcPr>
          <w:p>
            <w:pPr>
              <w:pStyle w:val="TableText"/>
            </w:pPr>
            <w:r>
              <w:t xml:space="preserve">May be regenerated from surviving authoritative evidence under fixed code/version assumptions</w:t>
            </w:r>
          </w:p>
        </w:tc>
      </w:tr>
      <w:tr>
        <w:trPr>
          <w:cantSplit/>
        </w:trPr>
        <w:tc>
          <w:tcPr>
            <w:tcW w:w="4550" w:type="dxa"/>
          </w:tcPr>
          <w:p>
            <w:pPr>
              <w:pStyle w:val="TableText"/>
            </w:pPr>
            <w:r>
              <w:t xml:space="preserve">Staged / pending</w:t>
            </w:r>
          </w:p>
        </w:tc>
        <w:tc>
          <w:tcPr>
            <w:tcW w:w="4550" w:type="dxa"/>
          </w:tcPr>
          <w:p>
            <w:pPr>
              <w:pStyle w:val="TableText"/>
            </w:pPr>
            <w:r>
              <w:t xml:space="preserve">Not yet authoritative; no prior source representation is released on this basis</w:t>
            </w:r>
          </w:p>
        </w:tc>
      </w:tr>
      <w:tr>
        <w:trPr>
          <w:cantSplit/>
        </w:trPr>
        <w:tc>
          <w:tcPr>
            <w:tcW w:w="4550" w:type="dxa"/>
          </w:tcPr>
          <w:p>
            <w:pPr>
              <w:pStyle w:val="TableText"/>
            </w:pPr>
            <w:r>
              <w:t xml:space="preserve">Historically irreplaceable / source-pruned</w:t>
            </w:r>
          </w:p>
        </w:tc>
        <w:tc>
          <w:tcPr>
            <w:tcW w:w="4550" w:type="dxa"/>
          </w:tcPr>
          <w:p>
            <w:pPr>
              <w:pStyle w:val="TableText"/>
            </w:pPr>
            <w:r>
              <w:t xml:space="preserve">Treat as preservation-critical unless an independently sufficient representation survives</w:t>
            </w:r>
          </w:p>
        </w:tc>
      </w:tr>
      <w:tr>
        <w:trPr>
          <w:cantSplit/>
        </w:trPr>
        <w:tc>
          <w:tcPr>
            <w:tcW w:w="4550" w:type="dxa"/>
          </w:tcPr>
          <w:p>
            <w:pPr>
              <w:pStyle w:val="TableText"/>
            </w:pPr>
            <w:r>
              <w:t xml:space="preserve">UNKNOWN</w:t>
            </w:r>
          </w:p>
        </w:tc>
        <w:tc>
          <w:tcPr>
            <w:tcW w:w="4550" w:type="dxa"/>
          </w:tcPr>
          <w:p>
            <w:pPr>
              <w:pStyle w:val="TableText"/>
            </w:pPr>
            <w:r>
              <w:t xml:space="preserve">Not eligible for retirement</w:t>
            </w:r>
          </w:p>
        </w:tc>
      </w:tr>
    </w:tbl>
    <w:p>
      <w:pPr>
        <w:pStyle w:val="Heading2"/>
      </w:pPr>
      <w:r>
        <w:t xml:space="preserve">39.4 Logical journals and completeness claims</w:t>
      </w:r>
    </w:p>
    <w:p>
      <w:pPr>
        <w:pStyle w:val="Normal"/>
      </w:pPr>
      <w:r>
        <w:t xml:space="preserve">A logical journal may consist of an active tail plus one or more sealed parts or packs. A completeness claim is valid only when its denominator is the complete compatible population within the declared scope. Current-tail bytes, file size, maximum-held coordinate or a convenient subset must not be presented as the denominator for complete coordinate coverage.</w:t>
      </w:r>
    </w:p>
    <w:p>
      <w:pPr>
        <w:pStyle w:val="Normal"/>
      </w:pPr>
      <w:r>
        <w:t xml:space="preserve">Where an honest denominator cannot be established, Voxonomics withholds the completeness claim rather than manufacturing one. Missing, skipped and structurally absent coordinates must be distinguished according to the rules of the relevant chain.</w:t>
      </w:r>
    </w:p>
    <w:p>
      <w:pPr>
        <w:pStyle w:val="Heading2"/>
      </w:pPr>
      <w:r>
        <w:t xml:space="preserve">39.5 Source-pruned historical evidence</w:t>
      </w:r>
    </w:p>
    <w:p>
      <w:pPr>
        <w:pStyle w:val="Normal"/>
      </w:pPr>
      <w:r>
        <w:t xml:space="preserve">When an upstream network node, provider or external source can no longer reproduce historical material, locally preserved evidence may become irreplaceable even if it lies far outside the analytical window. Such evidence is not retired on age grounds. Preservation priority increases when reacquisition becomes difficult or impossible.</w:t>
      </w:r>
    </w:p>
    <w:p>
      <w:pPr>
        <w:pStyle w:val="Heading1"/>
        <w:pageBreakBefore/>
      </w:pPr>
      <w:r>
        <w:t xml:space="preserve">40. Vox-in-a-Box Data and Evidence Nodes</w:t>
      </w:r>
    </w:p>
    <w:p>
      <w:pPr>
        <w:pStyle w:val="Heading2"/>
      </w:pPr>
      <w:r>
        <w:t xml:space="preserve">40.1 Definition</w:t>
      </w:r>
    </w:p>
    <w:p>
      <w:pPr>
        <w:pStyle w:val="Normal"/>
      </w:pPr>
      <w:r>
        <w:t xml:space="preserve">A Vox-in-a-Box node is an independently operable Voxonomics data/evidence node. It is not merely a dashboard appliance. A node can participate in acquisition, preservation, reproduction and verification while using the same governed Voxonomics methodology as every other canonical implementation.</w:t>
      </w:r>
    </w:p>
    <w:p>
      <w:pPr>
        <w:pStyle w:val="Heading2"/>
      </w:pPr>
      <w:r>
        <w:t xml:space="preserve">40.2 Optional node roles</w:t>
      </w:r>
    </w:p>
    <w:p>
      <w:pPr>
        <w:pStyle w:val="Normal"/>
      </w:pPr>
      <w:r>
        <w:t xml:space="preserve">A deployment may perform one or more roles:</w:t>
      </w:r>
    </w:p>
    <w:p>
      <w:pPr>
        <w:pStyle w:val="ListParagraph"/>
      </w:pPr>
      <w:r>
        <w:t xml:space="preserve">• collection from blockchain or authoritative external sources;</w:t>
      </w:r>
    </w:p>
    <w:p>
      <w:pPr>
        <w:pStyle w:val="ListParagraph"/>
      </w:pPr>
      <w:r>
        <w:t xml:space="preserve">• evidence preservation and historical custody;</w:t>
      </w:r>
    </w:p>
    <w:p>
      <w:pPr>
        <w:pStyle w:val="ListParagraph"/>
      </w:pPr>
      <w:r>
        <w:t xml:space="preserve">• chain-specific adapter execution;</w:t>
      </w:r>
    </w:p>
    <w:p>
      <w:pPr>
        <w:pStyle w:val="ListParagraph"/>
      </w:pPr>
      <w:r>
        <w:t xml:space="preserve">• measurement and snapshot reproduction;</w:t>
      </w:r>
    </w:p>
    <w:p>
      <w:pPr>
        <w:pStyle w:val="ListParagraph"/>
      </w:pPr>
      <w:r>
        <w:t xml:space="preserve">• evidence-package and manifest verification;</w:t>
      </w:r>
    </w:p>
    <w:p>
      <w:pPr>
        <w:pStyle w:val="ListParagraph"/>
      </w:pPr>
      <w:r>
        <w:t xml:space="preserve">• selective evidence replication;</w:t>
      </w:r>
    </w:p>
    <w:p>
      <w:pPr>
        <w:pStyle w:val="ListParagraph"/>
      </w:pPr>
      <w:r>
        <w:t xml:space="preserve">• signed publication of reproduced outputs;</w:t>
      </w:r>
    </w:p>
    <w:p>
      <w:pPr>
        <w:pStyle w:val="ListParagraph"/>
      </w:pPr>
      <w:r>
        <w:t xml:space="preserve">• challenge and reconciliation of disputed observations;</w:t>
      </w:r>
    </w:p>
    <w:p>
      <w:pPr>
        <w:pStyle w:val="ListParagraph"/>
      </w:pPr>
      <w:r>
        <w:t xml:space="preserve">• historical preservation where upstream evidence is difficult to reacquire.</w:t>
      </w:r>
    </w:p>
    <w:p>
      <w:pPr>
        <w:pStyle w:val="Heading2"/>
      </w:pPr>
      <w:r>
        <w:t xml:space="preserve">40.3 Methodology boundary</w:t>
      </w:r>
    </w:p>
    <w:p>
      <w:pPr>
        <w:pStyle w:val="Normal"/>
      </w:pPr>
      <w:r>
        <w:t xml:space="preserve">Nodes decentralise acquisition, possession, reproduction, verification and publication resilience. They do not decentralise the definition of canonical Voxonomics into incompatible forks. A node cannot alter VTS, parent weights, canonical metric definitions, benchmark policy, exclusions or missing-data rules and describe the resulting output as canonical Voxonomics.</w:t>
      </w:r>
    </w:p>
    <w:p>
      <w:pPr>
        <w:pStyle w:val="Heading2"/>
      </w:pPr>
      <w:r>
        <w:t xml:space="preserve">40.4 Node evidence provenance</w:t>
      </w:r>
    </w:p>
    <w:p>
      <w:pPr>
        <w:pStyle w:val="Normal"/>
      </w:pPr>
      <w:r>
        <w:t xml:space="preserve">A node-produced evidence package should identify, where applicable:</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Field</w:t>
            </w:r>
          </w:p>
        </w:tc>
        <w:tc>
          <w:tcPr>
            <w:tcW w:w="4550" w:type="dxa"/>
          </w:tcPr>
          <w:p>
            <w:pPr>
              <w:pStyle w:val="TableHeader"/>
            </w:pPr>
            <w:r>
              <w:t xml:space="preserve">Purpose</w:t>
            </w:r>
          </w:p>
        </w:tc>
      </w:tr>
      <w:tr>
        <w:trPr>
          <w:cantSplit/>
        </w:trPr>
        <w:tc>
          <w:tcPr>
            <w:tcW w:w="4550" w:type="dxa"/>
          </w:tcPr>
          <w:p>
            <w:pPr>
              <w:pStyle w:val="TableText"/>
            </w:pPr>
            <w:r>
              <w:t xml:space="preserve">node identity</w:t>
            </w:r>
          </w:p>
        </w:tc>
        <w:tc>
          <w:tcPr>
            <w:tcW w:w="4550" w:type="dxa"/>
          </w:tcPr>
          <w:p>
            <w:pPr>
              <w:pStyle w:val="TableText"/>
            </w:pPr>
            <w:r>
              <w:t xml:space="preserve">Identifies the producing or preserving node</w:t>
            </w:r>
          </w:p>
        </w:tc>
      </w:tr>
      <w:tr>
        <w:trPr>
          <w:cantSplit/>
        </w:trPr>
        <w:tc>
          <w:tcPr>
            <w:tcW w:w="4550" w:type="dxa"/>
          </w:tcPr>
          <w:p>
            <w:pPr>
              <w:pStyle w:val="TableText"/>
            </w:pPr>
            <w:r>
              <w:t xml:space="preserve">network and coordinate/range</w:t>
            </w:r>
          </w:p>
        </w:tc>
        <w:tc>
          <w:tcPr>
            <w:tcW w:w="4550" w:type="dxa"/>
          </w:tcPr>
          <w:p>
            <w:pPr>
              <w:pStyle w:val="TableText"/>
            </w:pPr>
            <w:r>
              <w:t xml:space="preserve">Locates the source evidence in its native system</w:t>
            </w:r>
          </w:p>
        </w:tc>
      </w:tr>
      <w:tr>
        <w:trPr>
          <w:cantSplit/>
        </w:trPr>
        <w:tc>
          <w:tcPr>
            <w:tcW w:w="4550" w:type="dxa"/>
          </w:tcPr>
          <w:p>
            <w:pPr>
              <w:pStyle w:val="TableText"/>
            </w:pPr>
            <w:r>
              <w:t xml:space="preserve">source/provider/endpoint</w:t>
            </w:r>
          </w:p>
        </w:tc>
        <w:tc>
          <w:tcPr>
            <w:tcW w:w="4550" w:type="dxa"/>
          </w:tcPr>
          <w:p>
            <w:pPr>
              <w:pStyle w:val="TableText"/>
            </w:pPr>
            <w:r>
              <w:t xml:space="preserve">Identifies the acquisition path and upstream authority</w:t>
            </w:r>
          </w:p>
        </w:tc>
      </w:tr>
      <w:tr>
        <w:trPr>
          <w:cantSplit/>
        </w:trPr>
        <w:tc>
          <w:tcPr>
            <w:tcW w:w="4550" w:type="dxa"/>
          </w:tcPr>
          <w:p>
            <w:pPr>
              <w:pStyle w:val="TableText"/>
            </w:pPr>
            <w:r>
              <w:t xml:space="preserve">retrieval time</w:t>
            </w:r>
          </w:p>
        </w:tc>
        <w:tc>
          <w:tcPr>
            <w:tcW w:w="4550" w:type="dxa"/>
          </w:tcPr>
          <w:p>
            <w:pPr>
              <w:pStyle w:val="TableText"/>
            </w:pPr>
            <w:r>
              <w:t xml:space="preserve">Records when the evidence was obtained</w:t>
            </w:r>
          </w:p>
        </w:tc>
      </w:tr>
      <w:tr>
        <w:trPr>
          <w:cantSplit/>
        </w:trPr>
        <w:tc>
          <w:tcPr>
            <w:tcW w:w="4550" w:type="dxa"/>
          </w:tcPr>
          <w:p>
            <w:pPr>
              <w:pStyle w:val="TableText"/>
            </w:pPr>
            <w:r>
              <w:t xml:space="preserve">collector and adapter version</w:t>
            </w:r>
          </w:p>
        </w:tc>
        <w:tc>
          <w:tcPr>
            <w:tcW w:w="4550" w:type="dxa"/>
          </w:tcPr>
          <w:p>
            <w:pPr>
              <w:pStyle w:val="TableText"/>
            </w:pPr>
            <w:r>
              <w:t xml:space="preserve">Identifies the extraction and mapping implementation</w:t>
            </w:r>
          </w:p>
        </w:tc>
      </w:tr>
      <w:tr>
        <w:trPr>
          <w:cantSplit/>
        </w:trPr>
        <w:tc>
          <w:tcPr>
            <w:tcW w:w="4550" w:type="dxa"/>
          </w:tcPr>
          <w:p>
            <w:pPr>
              <w:pStyle w:val="TableText"/>
            </w:pPr>
            <w:r>
              <w:t xml:space="preserve">package/manifest hash</w:t>
            </w:r>
          </w:p>
        </w:tc>
        <w:tc>
          <w:tcPr>
            <w:tcW w:w="4550" w:type="dxa"/>
          </w:tcPr>
          <w:p>
            <w:pPr>
              <w:pStyle w:val="TableText"/>
            </w:pPr>
            <w:r>
              <w:t xml:space="preserve">Commits to the package identity and integrity</w:t>
            </w:r>
          </w:p>
        </w:tc>
      </w:tr>
      <w:tr>
        <w:trPr>
          <w:cantSplit/>
        </w:trPr>
        <w:tc>
          <w:tcPr>
            <w:tcW w:w="4550" w:type="dxa"/>
          </w:tcPr>
          <w:p>
            <w:pPr>
              <w:pStyle w:val="TableText"/>
            </w:pPr>
            <w:r>
              <w:t xml:space="preserve">methodology version</w:t>
            </w:r>
          </w:p>
        </w:tc>
        <w:tc>
          <w:tcPr>
            <w:tcW w:w="4550" w:type="dxa"/>
          </w:tcPr>
          <w:p>
            <w:pPr>
              <w:pStyle w:val="TableText"/>
            </w:pPr>
            <w:r>
              <w:t xml:space="preserve">Identifies the governing Voxonomics standard</w:t>
            </w:r>
          </w:p>
        </w:tc>
      </w:tr>
      <w:tr>
        <w:trPr>
          <w:cantSplit/>
        </w:trPr>
        <w:tc>
          <w:tcPr>
            <w:tcW w:w="4550" w:type="dxa"/>
          </w:tcPr>
          <w:p>
            <w:pPr>
              <w:pStyle w:val="TableText"/>
            </w:pPr>
            <w:r>
              <w:t xml:space="preserve">quality flags</w:t>
            </w:r>
          </w:p>
        </w:tc>
        <w:tc>
          <w:tcPr>
            <w:tcW w:w="4550" w:type="dxa"/>
          </w:tcPr>
          <w:p>
            <w:pPr>
              <w:pStyle w:val="TableText"/>
            </w:pPr>
            <w:r>
              <w:t xml:space="preserve">Records incompleteness, fallback, staleness or source limitations</w:t>
            </w:r>
          </w:p>
        </w:tc>
      </w:tr>
      <w:tr>
        <w:trPr>
          <w:cantSplit/>
        </w:trPr>
        <w:tc>
          <w:tcPr>
            <w:tcW w:w="4550" w:type="dxa"/>
          </w:tcPr>
          <w:p>
            <w:pPr>
              <w:pStyle w:val="TableText"/>
            </w:pPr>
            <w:r>
              <w:t xml:space="preserve">exception/dispute state</w:t>
            </w:r>
          </w:p>
        </w:tc>
        <w:tc>
          <w:tcPr>
            <w:tcW w:w="4550" w:type="dxa"/>
          </w:tcPr>
          <w:p>
            <w:pPr>
              <w:pStyle w:val="TableText"/>
            </w:pPr>
            <w:r>
              <w:t xml:space="preserve">Links unresolved evidence issues</w:t>
            </w:r>
          </w:p>
        </w:tc>
      </w:tr>
      <w:tr>
        <w:trPr>
          <w:cantSplit/>
        </w:trPr>
        <w:tc>
          <w:tcPr>
            <w:tcW w:w="4550" w:type="dxa"/>
          </w:tcPr>
          <w:p>
            <w:pPr>
              <w:pStyle w:val="TableText"/>
            </w:pPr>
            <w:r>
              <w:t xml:space="preserve">signature identity</w:t>
            </w:r>
          </w:p>
        </w:tc>
        <w:tc>
          <w:tcPr>
            <w:tcW w:w="4550" w:type="dxa"/>
          </w:tcPr>
          <w:p>
            <w:pPr>
              <w:pStyle w:val="TableText"/>
            </w:pPr>
            <w:r>
              <w:t xml:space="preserve">Identifies who attested to the package or result</w:t>
            </w:r>
          </w:p>
        </w:tc>
      </w:tr>
    </w:tbl>
    <w:p>
      <w:pPr>
        <w:pStyle w:val="Normal"/>
      </w:pPr>
      <w:r>
        <w:t xml:space="preserve">Identity proves origin, not correctness. A signed package can still contain an error; correctness remains a property of source evidence, method and reproducible calculation.</w:t>
      </w:r>
    </w:p>
    <w:p>
      <w:pPr>
        <w:pStyle w:val="Heading2"/>
      </w:pPr>
      <w:r>
        <w:t xml:space="preserve">40.5 Signed publication and independent reproduction</w:t>
      </w:r>
    </w:p>
    <w:p>
      <w:pPr>
        <w:pStyle w:val="Normal"/>
      </w:pPr>
      <w:r>
        <w:t xml:space="preserve">Nodes may sign evidence manifests or reproduced results. Multiple signatures improve publication resilience and make disagreement observable, but canonical acceptance depends on evidence and methodology compliance rather than signature count alone.</w:t>
      </w:r>
    </w:p>
    <w:p>
      <w:pPr>
        <w:pStyle w:val="Heading2"/>
      </w:pPr>
      <w:r>
        <w:t xml:space="preserve">40.6 Implementation scope</w:t>
      </w:r>
    </w:p>
    <w:p>
      <w:pPr>
        <w:pStyle w:val="Normal"/>
      </w:pPr>
      <w:r>
        <w:t xml:space="preserve">The current four-network engineering programme covers Ethereum, Avalanche C-Chain, BNB Smart Chain and TRON. Solana is paused. Vox-in-a-Box remains an independently governed distributed evidence-node architecture; this specification does not assert that a production network of such nodes is already deployed. Collector qualification, node qualification, archive reconstructability, metric certification and public publication remain separately governed.</w:t>
      </w:r>
    </w:p>
    <w:p>
      <w:pPr>
        <w:pStyle w:val="Heading1"/>
        <w:pageBreakBefore/>
      </w:pPr>
      <w:r>
        <w:t xml:space="preserve">41. Distributed Replication, Challenge and Reconciliation</w:t>
      </w:r>
    </w:p>
    <w:p>
      <w:pPr>
        <w:pStyle w:val="Heading2"/>
      </w:pPr>
      <w:r>
        <w:t xml:space="preserve">41.1 Selective replication</w:t>
      </w:r>
    </w:p>
    <w:p>
      <w:pPr>
        <w:pStyle w:val="Normal"/>
      </w:pPr>
      <w:r>
        <w:t xml:space="preserve">Voxonomics does not require every node to replicate every byte. Replication is prioritised for evidence that is difficult to reacquire, historically significant, required for reproducibility, involved in a dispute, exposed to upstream pruning, or critical to certification and recovery. Common, cheaply reacquirable material may use lighter replication when policy permits.</w:t>
      </w:r>
    </w:p>
    <w:p>
      <w:pPr>
        <w:pStyle w:val="Heading2"/>
      </w:pPr>
      <w:r>
        <w:t xml:space="preserve">41.2 Redundancy and independence</w:t>
      </w:r>
    </w:p>
    <w:p>
      <w:pPr>
        <w:pStyle w:val="Normal"/>
      </w:pPr>
      <w:r>
        <w:t xml:space="preserve">Edition 3.2 distinguishes three different properties:</w:t>
      </w:r>
    </w:p>
    <w:p>
      <w:pPr>
        <w:pStyle w:val="ListParagraph"/>
      </w:pPr>
      <w:r>
        <w:t xml:space="preserve">• transport redundancy — multiple endpoints or mirrors can deliver the same upstream material;</w:t>
      </w:r>
    </w:p>
    <w:p>
      <w:pPr>
        <w:pStyle w:val="ListParagraph"/>
      </w:pPr>
      <w:r>
        <w:t xml:space="preserve">• source independence — evidence comes through materially independent upstream acquisition paths or authorities;</w:t>
      </w:r>
    </w:p>
    <w:p>
      <w:pPr>
        <w:pStyle w:val="ListParagraph"/>
      </w:pPr>
      <w:r>
        <w:t xml:space="preserve">• methodological independence — a separate implementation independently reproduces the observation or calculation under the same canonical rules.</w:t>
      </w:r>
    </w:p>
    <w:p>
      <w:pPr>
        <w:pStyle w:val="Normal"/>
      </w:pPr>
      <w:r>
        <w:t xml:space="preserve">More endpoints do not automatically provide more independent evidence. Confidence claims must describe which kind of redundancy or independence actually exists.</w:t>
      </w:r>
    </w:p>
    <w:p>
      <w:pPr>
        <w:pStyle w:val="Heading2"/>
      </w:pPr>
      <w:r>
        <w:t xml:space="preserve">41.3 Agreement is useful but not truth</w:t>
      </w:r>
    </w:p>
    <w:p>
      <w:pPr>
        <w:pStyle w:val="Normal"/>
      </w:pPr>
      <w:r>
        <w:t xml:space="preserve">Two or more nodes can agree and still be wrong if they share a defective provider, adapter, dependency or corrupted evidence package. Node agreement is therefore a corroborating signal, not a truth rule.</w:t>
      </w:r>
    </w:p>
    <w:p>
      <w:pPr>
        <w:pStyle w:val="Heading2"/>
      </w:pPr>
      <w:r>
        <w:t xml:space="preserve">41.4 Preserve disagreement</w:t>
      </w:r>
    </w:p>
    <w:p>
      <w:pPr>
        <w:pStyle w:val="Normal"/>
      </w:pPr>
      <w:r>
        <w:t xml:space="preserve">When canonical nodes disagree, Voxonomics preserves the conflicting observations, provenance and manifests long enough to investigate. Majority agreement must not erase minority evidence. Reconciliation returns to authoritative source evidence, declared scope, adapter logic and calculation trace.</w:t>
      </w:r>
    </w:p>
    <w:p>
      <w:pPr>
        <w:pStyle w:val="Heading2"/>
      </w:pPr>
      <w:r>
        <w:t xml:space="preserve">41.5 Challenge and reconciliation</w:t>
      </w:r>
    </w:p>
    <w:p>
      <w:pPr>
        <w:pStyle w:val="Normal"/>
      </w:pPr>
      <w:r>
        <w:t xml:space="preserve">A challenge identifies the disputed output or observation, the competing evidence package, the relevant coordinate or external source range, methodology and adapter versions, and the expected material effect. Reconciliation may resolve a source defect, adapter defect, scope error or methodological ambiguity through the dispute process defined in Chapter 28.</w:t>
      </w:r>
    </w:p>
    <w:p>
      <w:pPr>
        <w:pStyle w:val="Heading1"/>
        <w:pageBreakBefore/>
      </w:pPr>
      <w:r>
        <w:t xml:space="preserve">42. Hosted Platform and Public-Service Security Boundary</w:t>
      </w:r>
    </w:p>
    <w:p>
      <w:pPr>
        <w:pStyle w:val="Heading2"/>
      </w:pPr>
      <w:r>
        <w:t xml:space="preserve">42.1 Reference architecture</w:t>
      </w:r>
    </w:p>
    <w:p>
      <w:pPr>
        <w:pStyle w:val="Normal"/>
      </w:pPr>
      <w:r>
        <w:t xml:space="preserve">The hosted Voxonomics platform and independent Vox-in-a-Box nodes share one evidence model. The conceptual production flow is:</w:t>
      </w:r>
    </w:p>
    <w:p>
      <w:pPr>
        <w:pStyle w:val="Normal"/>
      </w:pPr>
      <w:r>
        <w:t xml:space="preserve">authoritative sources → Vox collectors / Vox-in-a-Box nodes → evidence stores → canonical measurement → signed publication → read-only public API → dashboard / researchers / users</w:t>
      </w:r>
    </w:p>
    <w:p>
      <w:pPr>
        <w:pStyle w:val="Heading2"/>
      </w:pPr>
      <w:r>
        <w:t xml:space="preserve">42.2 Public read-only boundary</w:t>
      </w:r>
    </w:p>
    <w:p>
      <w:pPr>
        <w:pStyle w:val="Normal"/>
      </w:pPr>
      <w:r>
        <w:t xml:space="preserve">The public API and dashboard are publication surfaces. They must not possess routine authority to mutate canonical source evidence, rewrite collector journals, alter measurement records or change methodology. A compromise of the public web tier should therefore not grant an attacker evidence-write or collector-control authority.</w:t>
      </w:r>
    </w:p>
    <w:p>
      <w:pPr>
        <w:pStyle w:val="Heading2"/>
      </w:pPr>
      <w:r>
        <w:t xml:space="preserve">42.3 Separation of authorities</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Authority</w:t>
            </w:r>
          </w:p>
        </w:tc>
        <w:tc>
          <w:tcPr>
            <w:tcW w:w="4550" w:type="dxa"/>
          </w:tcPr>
          <w:p>
            <w:pPr>
              <w:pStyle w:val="TableHeader"/>
            </w:pPr>
            <w:r>
              <w:t xml:space="preserve">Public API/dashboard</w:t>
            </w:r>
          </w:p>
        </w:tc>
      </w:tr>
      <w:tr>
        <w:trPr>
          <w:cantSplit/>
        </w:trPr>
        <w:tc>
          <w:tcPr>
            <w:tcW w:w="4550" w:type="dxa"/>
          </w:tcPr>
          <w:p>
            <w:pPr>
              <w:pStyle w:val="TableText"/>
            </w:pPr>
            <w:r>
              <w:t xml:space="preserve">Read published measurements and evidence metadata</w:t>
            </w:r>
          </w:p>
        </w:tc>
        <w:tc>
          <w:tcPr>
            <w:tcW w:w="4550" w:type="dxa"/>
          </w:tcPr>
          <w:p>
            <w:pPr>
              <w:pStyle w:val="TableText"/>
            </w:pPr>
            <w:r>
              <w:t xml:space="preserve">Allowed</w:t>
            </w:r>
          </w:p>
        </w:tc>
      </w:tr>
      <w:tr>
        <w:trPr>
          <w:cantSplit/>
        </w:trPr>
        <w:tc>
          <w:tcPr>
            <w:tcW w:w="4550" w:type="dxa"/>
          </w:tcPr>
          <w:p>
            <w:pPr>
              <w:pStyle w:val="TableText"/>
            </w:pPr>
            <w:r>
              <w:t xml:space="preserve">Serve public evidence downloads permitted by policy/licence</w:t>
            </w:r>
          </w:p>
        </w:tc>
        <w:tc>
          <w:tcPr>
            <w:tcW w:w="4550" w:type="dxa"/>
          </w:tcPr>
          <w:p>
            <w:pPr>
              <w:pStyle w:val="TableText"/>
            </w:pPr>
            <w:r>
              <w:t xml:space="preserve">Allowed</w:t>
            </w:r>
          </w:p>
        </w:tc>
      </w:tr>
      <w:tr>
        <w:trPr>
          <w:cantSplit/>
        </w:trPr>
        <w:tc>
          <w:tcPr>
            <w:tcW w:w="4550" w:type="dxa"/>
          </w:tcPr>
          <w:p>
            <w:pPr>
              <w:pStyle w:val="TableText"/>
            </w:pPr>
            <w:r>
              <w:t xml:space="preserve">Write collector observations or source evidence</w:t>
            </w:r>
          </w:p>
        </w:tc>
        <w:tc>
          <w:tcPr>
            <w:tcW w:w="4550" w:type="dxa"/>
          </w:tcPr>
          <w:p>
            <w:pPr>
              <w:pStyle w:val="TableText"/>
            </w:pPr>
            <w:r>
              <w:t xml:space="preserve">Not allowed</w:t>
            </w:r>
          </w:p>
        </w:tc>
      </w:tr>
      <w:tr>
        <w:trPr>
          <w:cantSplit/>
        </w:trPr>
        <w:tc>
          <w:tcPr>
            <w:tcW w:w="4550" w:type="dxa"/>
          </w:tcPr>
          <w:p>
            <w:pPr>
              <w:pStyle w:val="TableText"/>
            </w:pPr>
            <w:r>
              <w:t xml:space="preserve">Mutate sealed canonical evidence</w:t>
            </w:r>
          </w:p>
        </w:tc>
        <w:tc>
          <w:tcPr>
            <w:tcW w:w="4550" w:type="dxa"/>
          </w:tcPr>
          <w:p>
            <w:pPr>
              <w:pStyle w:val="TableText"/>
            </w:pPr>
            <w:r>
              <w:t xml:space="preserve">Not allowed</w:t>
            </w:r>
          </w:p>
        </w:tc>
      </w:tr>
      <w:tr>
        <w:trPr>
          <w:cantSplit/>
        </w:trPr>
        <w:tc>
          <w:tcPr>
            <w:tcW w:w="4550" w:type="dxa"/>
          </w:tcPr>
          <w:p>
            <w:pPr>
              <w:pStyle w:val="TableText"/>
            </w:pPr>
            <w:r>
              <w:t xml:space="preserve">Change metric definitions or methodology versions</w:t>
            </w:r>
          </w:p>
        </w:tc>
        <w:tc>
          <w:tcPr>
            <w:tcW w:w="4550" w:type="dxa"/>
          </w:tcPr>
          <w:p>
            <w:pPr>
              <w:pStyle w:val="TableText"/>
            </w:pPr>
            <w:r>
              <w:t xml:space="preserve">Not allowed</w:t>
            </w:r>
          </w:p>
        </w:tc>
      </w:tr>
      <w:tr>
        <w:trPr>
          <w:cantSplit/>
        </w:trPr>
        <w:tc>
          <w:tcPr>
            <w:tcW w:w="4550" w:type="dxa"/>
          </w:tcPr>
          <w:p>
            <w:pPr>
              <w:pStyle w:val="TableText"/>
            </w:pPr>
            <w:r>
              <w:t xml:space="preserve">Access collector/admin credentials</w:t>
            </w:r>
          </w:p>
        </w:tc>
        <w:tc>
          <w:tcPr>
            <w:tcW w:w="4550" w:type="dxa"/>
          </w:tcPr>
          <w:p>
            <w:pPr>
              <w:pStyle w:val="TableText"/>
            </w:pPr>
            <w:r>
              <w:t xml:space="preserve">Not allowed</w:t>
            </w:r>
          </w:p>
        </w:tc>
      </w:tr>
      <w:tr>
        <w:trPr>
          <w:cantSplit/>
        </w:trPr>
        <w:tc>
          <w:tcPr>
            <w:tcW w:w="4550" w:type="dxa"/>
          </w:tcPr>
          <w:p>
            <w:pPr>
              <w:pStyle w:val="TableText"/>
            </w:pPr>
            <w:r>
              <w:t xml:space="preserve">Hold canonical signing authority by default</w:t>
            </w:r>
          </w:p>
        </w:tc>
        <w:tc>
          <w:tcPr>
            <w:tcW w:w="4550" w:type="dxa"/>
          </w:tcPr>
          <w:p>
            <w:pPr>
              <w:pStyle w:val="TableText"/>
            </w:pPr>
            <w:r>
              <w:t xml:space="preserve">Not allowed</w:t>
            </w:r>
          </w:p>
        </w:tc>
      </w:tr>
    </w:tbl>
    <w:p>
      <w:pPr>
        <w:pStyle w:val="Heading2"/>
      </w:pPr>
      <w:r>
        <w:t xml:space="preserve">42.4 Credentials, administration and signing</w:t>
      </w:r>
    </w:p>
    <w:p>
      <w:pPr>
        <w:pStyle w:val="Normal"/>
      </w:pPr>
      <w:r>
        <w:t xml:space="preserve">Collector credentials, evidence-store write authority, administration credentials and signing keys are separated from the public service. Signing authority follows the key-management rules in Chapter 33 and may be distributed across independent publishers or threshold arrangements. Public availability does not justify collapsing these roles.</w:t>
      </w:r>
    </w:p>
    <w:p>
      <w:pPr>
        <w:pStyle w:val="Heading2"/>
      </w:pPr>
      <w:r>
        <w:t xml:space="preserve">42.5 Availability and graceful degradation</w:t>
      </w:r>
    </w:p>
    <w:p>
      <w:pPr>
        <w:pStyle w:val="Normal"/>
      </w:pPr>
      <w:r>
        <w:t xml:space="preserve">A public API or dashboard outage does not invalidate preserved evidence or canonical measurements. Conversely, a functioning dashboard is not proof that collectors, evidence custody or reproduction remain healthy. Operational status, evidence status and publication status are distinct and should be reported separately.</w:t>
      </w:r>
    </w:p>
    <w:p>
      <w:pPr>
        <w:pStyle w:val="Heading1"/>
        <w:pageBreakBefore/>
      </w:pPr>
      <w:r>
        <w:t xml:space="preserve">43. AI-Assisted Development Transparency</w:t>
      </w:r>
    </w:p>
    <w:p>
      <w:pPr>
        <w:pStyle w:val="Heading2"/>
      </w:pPr>
      <w:r>
        <w:t xml:space="preserve">43.1 Disclosure</w:t>
      </w:r>
    </w:p>
    <w:p>
      <w:pPr>
        <w:pStyle w:val="Normal"/>
      </w:pPr>
      <w:r>
        <w:t xml:space="preserve">Voxonomics has used AI-assisted tools, including OpenAI ChatGPT and Anthropic Claude, in software engineering, technical analysis, test design, documentation drafting and review. This disclosure is intended to make the development process transparent, not to transfer authority to an AI system.</w:t>
      </w:r>
    </w:p>
    <w:p>
      <w:pPr>
        <w:pStyle w:val="Heading2"/>
      </w:pPr>
      <w:r>
        <w:t xml:space="preserve">43.2 Authority boundaries</w:t>
      </w:r>
    </w:p>
    <w:p>
      <w:pPr>
        <w:pStyle w:val="Normal"/>
      </w:pPr>
      <w:r>
        <w:t xml:space="preserve">AI systems do not hold methodological, governance or publication authority. Canonical definitions, acceptance of changes, release decisions and public claims remain the responsibility of the Voxonomics project and its authorised governance or maintainers. AI-generated suggestions are inputs to review, not self-validating decisions.</w:t>
      </w:r>
    </w:p>
    <w:p>
      <w:pPr>
        <w:pStyle w:val="Heading2"/>
      </w:pPr>
      <w:r>
        <w:t xml:space="preserve">43.3 Audit terminology</w:t>
      </w:r>
    </w:p>
    <w:p>
      <w:pPr>
        <w:pStyle w:val="Normal"/>
      </w:pPr>
      <w:r>
        <w:t xml:space="preserve">AI-assisted internal review must not be represented as an independent third-party audit, certification or external assurance engagement. Where Voxonomics claims independent audit, the auditor, scope, evidence examined, limitations and outcome must be independently identifiable.</w:t>
      </w:r>
    </w:p>
    <w:p>
      <w:pPr>
        <w:pStyle w:val="Heading2"/>
      </w:pPr>
      <w:r>
        <w:t xml:space="preserve">43.4 Reproducibility over authority</w:t>
      </w:r>
    </w:p>
    <w:p>
      <w:pPr>
        <w:pStyle w:val="Normal"/>
      </w:pPr>
      <w:r>
        <w:t xml:space="preserve">The framework does not ask users to trust an AI system, a developer or a node operator because of identity alone. Evidence, versioned code, deterministic calculations, signed manifests and reproducible outputs remain the basis for verification.</w:t>
      </w:r>
    </w:p>
    <w:p>
      <w:pPr>
        <w:pStyle w:val="Normal"/>
      </w:pPr>
      <w:r>
        <w:t xml:space="preserve">Part X — Conclusion</w:t>
      </w:r>
    </w:p>
    <w:p>
      <w:pPr>
        <w:pStyle w:val="Heading1"/>
        <w:pageBreakBefore/>
      </w:pPr>
      <w:r>
        <w:t>43A. Four-Network Implementation Update</w:t>
      </w:r>
    </w:p>
    <w:p>
      <w:pPr>
        <w:pStyle w:val="Heading2"/>
      </w:pPr>
      <w:r>
        <w:t xml:space="preserve">43A.1 Purpose and current scope</w:t>
      </w:r>
    </w:p>
    <w:p>
      <w:pPr>
        <w:pStyle w:val="Normal"/>
      </w:pPr>
      <w:r>
        <w:t xml:space="preserve">The current Phase-1 acquisition programme covers Ethereum, Avalanche C-Chain, BNB Smart Chain and TRON. These networks are distinct measurement subjects, not interchangeable sources of one combined score. Solana was included in earlier development and is currently paused.</w:t>
      </w:r>
    </w:p>
    <w:p>
      <w:pPr>
        <w:pStyle w:val="Normal"/>
      </w:pPr>
      <w:r>
        <w:t xml:space="preserve">The four-network scope identifies the systems being engineered and evaluated. It does not certify all four collectors, all historical intervals, all adapter capabilities or all thirty submetrics.</w:t>
      </w:r>
    </w:p>
    <w:p>
      <w:pPr>
        <w:pStyle w:val="Heading2"/>
      </w:pPr>
      <w:r>
        <w:t xml:space="preserve">43A.2 Shared architecture and chain isolation</w:t>
      </w:r>
    </w:p>
    <w:p>
      <w:pPr>
        <w:pStyle w:val="Normal"/>
      </w:pPr>
      <w:r>
        <w:t xml:space="preserve">Each network requires an independently identifiable collection lane, source identity, progress frontier, evidence namespace, verification state and recovery boundary. Shared collector contracts must not permit one network to overwrite or validate another network's evidence.</w:t>
      </w:r>
    </w:p>
    <w:p>
      <w:pPr>
        <w:pStyle w:val="Normal"/>
      </w:pPr>
      <w:r>
        <w:t xml:space="preserve">Chain-specific source acquisition feeds common evidence and measurement interfaces. Universal definitions remain stable while network adapters supply the technically correct observations.</w:t>
      </w:r>
    </w:p>
    <w:p>
      <w:pPr>
        <w:pStyle w:val="Heading2"/>
      </w:pPr>
      <w:r>
        <w:t xml:space="preserve">43A.3 Ethereum</w:t>
      </w:r>
    </w:p>
    <w:p>
      <w:pPr>
        <w:pStyle w:val="Normal"/>
      </w:pPr>
      <w:r>
        <w:t xml:space="preserve">Ethereum evidence acquisition must account for execution-layer records and the applicable consensus-layer finality model. Block, transaction, receipt, event and state evidence must be interpreted within the declared source and finality scope. A visible chain head is not the same as a verified contiguous evidence frontier.</w:t>
      </w:r>
    </w:p>
    <w:p>
      <w:pPr>
        <w:pStyle w:val="Heading2"/>
      </w:pPr>
      <w:r>
        <w:t xml:space="preserve">43A.4 Avalanche C-Chain</w:t>
      </w:r>
    </w:p>
    <w:p>
      <w:pPr>
        <w:pStyle w:val="Normal"/>
      </w:pPr>
      <w:r>
        <w:t xml:space="preserve">Avalanche C-Chain is EVM-compatible but retains its own network identity, consensus environment, source interfaces and finality requirements. Its acquisition configuration and stored evidence must remain independent of Ethereum and BNB.</w:t>
      </w:r>
    </w:p>
    <w:p>
      <w:pPr>
        <w:pStyle w:val="Heading2"/>
      </w:pPr>
      <w:r>
        <w:t xml:space="preserve">43A.5 BNB Smart Chain</w:t>
      </w:r>
    </w:p>
    <w:p>
      <w:pPr>
        <w:pStyle w:val="Normal"/>
      </w:pPr>
      <w:r>
        <w:t xml:space="preserve">BNB Smart Chain uses an EVM-compatible execution environment with its own consensus, finality, provider and operational characteristics. Correct receipt extraction or block availability on another EVM network cannot substitute for BNB-specific source verification.</w:t>
      </w:r>
    </w:p>
    <w:p>
      <w:pPr>
        <w:pStyle w:val="Heading2"/>
      </w:pPr>
      <w:r>
        <w:t xml:space="preserve">43A.6 TRON</w:t>
      </w:r>
    </w:p>
    <w:p>
      <w:pPr>
        <w:pStyle w:val="Normal"/>
      </w:pPr>
      <w:r>
        <w:t xml:space="preserve">TRON requires native chain-specific block and transaction interpretation. EVM receipt assumptions must not be applied mechanically to TRON data. Block identity, chain timestamps, transaction representation, source agreement and finality must be verified under the TRON adapter contract.</w:t>
      </w:r>
    </w:p>
    <w:p>
      <w:pPr>
        <w:pStyle w:val="Normal"/>
      </w:pPr>
      <w:r>
        <w:t xml:space="preserve">A recent block observation does not by itself establish an independently verified transaction count. A missing count must remain unavailable, not become zero. Top-level transactions, internal execution activity and economically admitted transfers are separate concepts.</w:t>
      </w:r>
    </w:p>
    <w:p>
      <w:pPr>
        <w:pStyle w:val="Heading2"/>
      </w:pPr>
      <w:r>
        <w:t xml:space="preserve">43A.7 Collection progress and operational status</w:t>
      </w:r>
    </w:p>
    <w:p>
      <w:pPr>
        <w:pStyle w:val="Normal"/>
      </w:pPr>
      <w:r>
        <w:t xml:space="preserve">The observed service state is separate from the collector's committed progress. A service can be running while lagging, refusing a provider response or failing to establish complete verified coverage.</w:t>
      </w:r>
    </w:p>
    <w:p>
      <w:pPr>
        <w:pStyle w:val="Normal"/>
      </w:pPr>
      <w:r>
        <w:t xml:space="preserve">An operator-provided read-only snapshot dated 26 October 2026 reported the four collector service units active and running. This is operational observation, not independent certification, and must not be presented as proof of uninterrupted collection.</w:t>
      </w:r>
    </w:p>
    <w:p>
      <w:pPr>
        <w:pStyle w:val="Heading2"/>
      </w:pPr>
      <w:r>
        <w:t xml:space="preserve">43A.8 Integrity, completeness and refusal</w:t>
      </w:r>
    </w:p>
    <w:p>
      <w:pPr>
        <w:pStyle w:val="Normal"/>
      </w:pPr>
      <w:r>
        <w:t xml:space="preserve">Progress claims require a declared network, coordinate range, completeness denominator and evidence-validation result. Maximum observed heights or slots do not alone prove a gap-free committed range.</w:t>
      </w:r>
    </w:p>
    <w:p>
      <w:pPr>
        <w:pStyle w:val="Normal"/>
      </w:pPr>
      <w:r>
        <w:t xml:space="preserve">Unknown, missing, unavailable, malformed or source-disputed data must retain its correct status and provenance. Failure must not be represented as valid zero activity.</w:t>
      </w:r>
    </w:p>
    <w:p>
      <w:pPr>
        <w:pStyle w:val="Heading2"/>
      </w:pPr>
      <w:r>
        <w:t xml:space="preserve">43A.9 Durable preservation and retirement</w:t>
      </w:r>
    </w:p>
    <w:p>
      <w:pPr>
        <w:pStyle w:val="Normal"/>
      </w:pPr>
      <w:r>
        <w:t xml:space="preserve">The operational storage target includes a thirty-day rolling active evidence window. This is distinct from any metric's analytical horizon and must not be interpreted as an automatic deletion threshold.</w:t>
      </w:r>
    </w:p>
    <w:p>
      <w:pPr>
        <w:pStyle w:val="Normal"/>
      </w:pPr>
      <w:r>
        <w:t xml:space="preserve">The inherited STAGE → SEAL → VERIFY → RELEASE governance remains unchanged. Evidence older than the active window may be relocated or retired from primary storage only after the required preservation, reproduction and audit conditions have been proven.</w:t>
      </w:r>
    </w:p>
    <w:p>
      <w:pPr>
        <w:pStyle w:val="Normal"/>
      </w:pPr>
      <w:r>
        <w:t xml:space="preserve">A digest is not a recoverable copy. The system must preserve independently readable evidence and establish reconstructability before claiming archive safety.</w:t>
      </w:r>
    </w:p>
    <w:p>
      <w:pPr>
        <w:pStyle w:val="Heading2"/>
      </w:pPr>
      <w:r>
        <w:t xml:space="preserve">43A.10 Vox-in-a-Box and distributed verification</w:t>
      </w:r>
    </w:p>
    <w:p>
      <w:pPr>
        <w:pStyle w:val="Normal"/>
      </w:pPr>
      <w:r>
        <w:t xml:space="preserve">Vox-in-a-Box is intended to support independent acquisition, custody, replication, verification and reproduction of evidence. Node independence does not authorise independent rewrites of canonical metric definitions.</w:t>
      </w:r>
    </w:p>
    <w:p>
      <w:pPr>
        <w:pStyle w:val="Normal"/>
      </w:pPr>
      <w:r>
        <w:t xml:space="preserve">Operational deployments, replication coverage, signing arrangements and independent restore tests require specific evidence before being described as production-ready.</w:t>
      </w:r>
    </w:p>
    <w:p>
      <w:pPr>
        <w:pStyle w:val="Heading2"/>
      </w:pPr>
      <w:r>
        <w:t xml:space="preserve">43A.11 Economic measurement boundary</w:t>
      </w:r>
    </w:p>
    <w:p>
      <w:pPr>
        <w:pStyle w:val="Normal"/>
      </w:pPr>
      <w:r>
        <w:t xml:space="preserve">The framework defines thirty canonical submetrics under six equally weighted parent indices. PoV.ES is the initial measurement implementation priority. Evidence collection, admissible observations, approved measurements, index computation and official VTS publication are distinct stages.</w:t>
      </w:r>
    </w:p>
    <w:p>
      <w:pPr>
        <w:pStyle w:val="Normal"/>
      </w:pPr>
      <w:r>
        <w:t>This edition does not enable official submetric scores, parent index values or network VTS outputs.</w:t>
      </w:r>
    </w:p>
    <w:p>
      <w:pPr>
        <w:pStyle w:val="Heading2"/>
      </w:pPr>
      <w:r>
        <w:t xml:space="preserve">43A.12 Public API and dashboard</w:t>
      </w:r>
    </w:p>
    <w:p>
      <w:pPr>
        <w:pStyle w:val="Normal"/>
      </w:pPr>
      <w:r>
        <w:t xml:space="preserve">The intended public API and dashboard are read-only publication interfaces. They must not have routine authority to alter collector state, canonical evidence, source journals or measurement definitions.</w:t>
      </w:r>
    </w:p>
    <w:p>
      <w:pPr>
        <w:pStyle w:val="Normal"/>
      </w:pPr>
      <w:r>
        <w:t xml:space="preserve">Live operational telemetry must show its observed status, freshness and limitations separately from research results and publication-approved scores.</w:t>
      </w:r>
    </w:p>
    <w:p>
      <w:pPr>
        <w:pStyle w:val="Heading2"/>
      </w:pPr>
      <w:r>
        <w:t xml:space="preserve">43A.13 Qualification and publication gates</w:t>
      </w:r>
    </w:p>
    <w:p>
      <w:pPr>
        <w:pStyle w:val="Normal"/>
      </w:pPr>
      <w:r>
        <w:t xml:space="preserve">Before the four-network programme is described as certified, each network must pass independently scoped correctness, provenance, finality, continuity, recovery and adversarial failure tests.</w:t>
      </w:r>
    </w:p>
    <w:p>
      <w:pPr>
        <w:pStyle w:val="Normal"/>
      </w:pPr>
      <w:r>
        <w:t>This published edition records the current four-network engineering scope and safeguards. Independent tests against deployed collectors, production source identities, actual service configuration and evidence continuity remain necessary before certification can be claimed. No official score is conferred by publication of this document.</w:t>
      </w:r>
    </w:p>
    <w:p>
      <w:pPr>
        <w:pStyle w:val="Heading1"/>
        <w:pageBreakBefore/>
      </w:pPr>
      <w:r>
        <w:t xml:space="preserve">44. Conclusion</w:t>
      </w:r>
    </w:p>
    <w:p>
      <w:pPr>
        <w:pStyle w:val="Normal"/>
      </w:pPr>
      <w:r>
        <w:t xml:space="preserve">Blockchains created verifiable digital state but not a universal economic language. Their markets developed around price, supply, narratives and fragmented indicators. Those signals are useful, yet they do not answer a deeper question: How well does a network function as an economy?</w:t>
      </w:r>
    </w:p>
    <w:p>
      <w:pPr>
        <w:pStyle w:val="Normal"/>
      </w:pPr>
      <w:r>
        <w:t xml:space="preserve">Voxonomics answers that question through six equal pillars. Proof of Value measures economic output and sustainable value capture. OPI measures productive participation. DLI measures usable and resilient liquidity. PII measures security, decentralisation and operational integrity. RWAI measures verifiable connection to the wider economy. ERI measures the ability to retain function and recover through stress.</w:t>
      </w:r>
    </w:p>
    <w:p>
      <w:pPr>
        <w:pStyle w:val="Normal"/>
      </w:pPr>
      <w:r>
        <w:t xml:space="preserve">Together they form VTS, standardised against the Economic Reference Unit. VRI then measures market recognition. The Opportunity Gap shows divergence between fundamentals and recognition. VRS makes structural risk explicit. VCS shows how much confidence the evidence deserves.</w:t>
      </w:r>
    </w:p>
    <w:p>
      <w:pPr>
        <w:pStyle w:val="Normal"/>
      </w:pPr>
      <w:r>
        <w:t xml:space="preserve">This architecture resolves an important category error: market price is not intrinsic measurement, and intrinsic measurement is not a guaranteed price. The optional VOX and V-FOREX layers are therefore separated from the measurement engine. A network can be studied without permission and without token issuance. A future economic implementation must earn activation through evidence, audits, governance and market safety.</w:t>
      </w:r>
    </w:p>
    <w:p>
      <w:pPr>
        <w:pStyle w:val="Normal"/>
      </w:pPr>
      <w:r>
        <w:t xml:space="preserve">Voxonomics also rejects false neutrality. It does not fill missing data with arbitrary average scores. It does not force proof-of-work, proof-of-stake and rollup networks into identical raw fields. It does not describe model outputs as unquestionable truth. Instead, it standardises economic definitions, publishes architecture-specific adapters, exposes uncertainty and preserves every methodology version.</w:t>
      </w:r>
    </w:p>
    <w:p>
      <w:pPr>
        <w:pStyle w:val="Normal"/>
      </w:pPr>
      <w:r>
        <w:t xml:space="preserve">Edition 3.2 extends the same discipline to evidence custody. Canonical values must remain connected to the evidence that produced them; storage optimisation cannot silently sever that connection. Vox-in-a-Box nodes can distribute collection, preservation, reproduction and publication resilience while the methodology remains one governed standard. The result is a framework designed not only to calculate economic measurements, but to show why those measurements should be believed—or when they should be withheld.</w:t>
      </w:r>
    </w:p>
    <w:p>
      <w:pPr>
        <w:pStyle w:val="Normal"/>
      </w:pPr>
      <w:r>
        <w:t xml:space="preserve">The framework is ambitious because the problem is large. Digital economies need a common reference that is open, comparable and resistant to capture. That reference cannot depend on one company, one chain, one data provider or one market narrative. It must be governed as a public standard and remain reproducible by anyone.</w:t>
      </w:r>
    </w:p>
    <w:p>
      <w:pPr>
        <w:pStyle w:val="Normal"/>
      </w:pPr>
      <w:r>
        <w:t xml:space="preserve">Voxonomics carries its name with intent. Vox is Latin for voice. The project’s purpose is to give public economic evidence a voice strong enough to be heard above speculation, opacity and selective measurement.</w:t>
      </w:r>
    </w:p>
    <w:p>
      <w:pPr>
        <w:pStyle w:val="Normal"/>
      </w:pPr>
      <w:r>
        <w:t xml:space="preserve">Value should reflect verifiable economic reality. Trust should be earned through evidence. The standard itself should remain accountable to the people who can verify it.</w:t>
      </w:r>
    </w:p>
    <w:p>
      <w:pPr>
        <w:pStyle w:val="Normal"/>
      </w:pPr>
      <w:r>
        <w:t xml:space="preserve">Appendices</w:t>
      </w:r>
    </w:p>
    <w:p>
      <w:pPr>
        <w:pStyle w:val="Heading1"/>
        <w:pageBreakBefore/>
      </w:pPr>
      <w:r>
        <w:t xml:space="preserve">Appendix A — Mathematical Specification</w:t>
      </w:r>
    </w:p>
    <w:p>
      <w:pPr>
        <w:pStyle w:val="Heading2"/>
      </w:pPr>
      <w:r>
        <w:t xml:space="preserve">A.1 Notation</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Symbol</w:t>
            </w:r>
          </w:p>
        </w:tc>
        <w:tc>
          <w:tcPr>
            <w:tcW w:w="4550" w:type="dxa"/>
          </w:tcPr>
          <w:p>
            <w:pPr>
              <w:pStyle w:val="TableHeader"/>
            </w:pPr>
            <w:r>
              <w:t xml:space="preserve">Definition</w:t>
            </w:r>
          </w:p>
        </w:tc>
      </w:tr>
      <w:tr>
        <w:trPr>
          <w:cantSplit/>
        </w:trPr>
        <w:tc>
          <w:tcPr>
            <w:tcW w:w="4550" w:type="dxa"/>
          </w:tcPr>
          <w:p>
            <w:pPr>
              <w:pStyle w:val="TableText"/>
            </w:pPr>
            <w:r>
              <w:t xml:space="preserve">x</w:t>
            </w:r>
          </w:p>
        </w:tc>
        <w:tc>
          <w:tcPr>
            <w:tcW w:w="4550" w:type="dxa"/>
          </w:tcPr>
          <w:p>
            <w:pPr>
              <w:pStyle w:val="TableText"/>
            </w:pPr>
            <w:r>
              <w:t xml:space="preserve">Raw observation</w:t>
            </w:r>
          </w:p>
        </w:tc>
      </w:tr>
      <w:tr>
        <w:trPr>
          <w:cantSplit/>
        </w:trPr>
        <w:tc>
          <w:tcPr>
            <w:tcW w:w="4550" w:type="dxa"/>
          </w:tcPr>
          <w:p>
            <w:pPr>
              <w:pStyle w:val="TableText"/>
            </w:pPr>
            <w:r>
              <w:t xml:space="preserve">T(x)</w:t>
            </w:r>
          </w:p>
        </w:tc>
        <w:tc>
          <w:tcPr>
            <w:tcW w:w="4550" w:type="dxa"/>
          </w:tcPr>
          <w:p>
            <w:pPr>
              <w:pStyle w:val="TableText"/>
            </w:pPr>
            <w:r>
              <w:t xml:space="preserve">Metric-specific transformation</w:t>
            </w:r>
          </w:p>
        </w:tc>
      </w:tr>
      <w:tr>
        <w:trPr>
          <w:cantSplit/>
        </w:trPr>
        <w:tc>
          <w:tcPr>
            <w:tcW w:w="4550" w:type="dxa"/>
          </w:tcPr>
          <w:p>
            <w:pPr>
              <w:pStyle w:val="TableText"/>
            </w:pPr>
            <w:r>
              <w:t xml:space="preserve">L, U</w:t>
            </w:r>
          </w:p>
        </w:tc>
        <w:tc>
          <w:tcPr>
            <w:tcW w:w="4550" w:type="dxa"/>
          </w:tcPr>
          <w:p>
            <w:pPr>
              <w:pStyle w:val="TableText"/>
            </w:pPr>
            <w:r>
              <w:t xml:space="preserve">Lower and upper benchmark anchors</w:t>
            </w:r>
          </w:p>
        </w:tc>
      </w:tr>
      <w:tr>
        <w:trPr>
          <w:cantSplit/>
        </w:trPr>
        <w:tc>
          <w:tcPr>
            <w:tcW w:w="4550" w:type="dxa"/>
          </w:tcPr>
          <w:p>
            <w:pPr>
              <w:pStyle w:val="TableText"/>
            </w:pPr>
            <w:r>
              <w:t xml:space="preserve">s_jk</w:t>
            </w:r>
          </w:p>
        </w:tc>
        <w:tc>
          <w:tcPr>
            <w:tcW w:w="4550" w:type="dxa"/>
          </w:tcPr>
          <w:p>
            <w:pPr>
              <w:pStyle w:val="TableText"/>
            </w:pPr>
            <w:r>
              <w:t xml:space="preserve">Normalised sub-index score from 0 to 100</w:t>
            </w:r>
          </w:p>
        </w:tc>
      </w:tr>
      <w:tr>
        <w:trPr>
          <w:cantSplit/>
        </w:trPr>
        <w:tc>
          <w:tcPr>
            <w:tcW w:w="4550" w:type="dxa"/>
          </w:tcPr>
          <w:p>
            <w:pPr>
              <w:pStyle w:val="TableText"/>
            </w:pPr>
            <w:r>
              <w:t xml:space="preserve">w_jk</w:t>
            </w:r>
          </w:p>
        </w:tc>
        <w:tc>
          <w:tcPr>
            <w:tcW w:w="4550" w:type="dxa"/>
          </w:tcPr>
          <w:p>
            <w:pPr>
              <w:pStyle w:val="TableText"/>
            </w:pPr>
            <w:r>
              <w:t xml:space="preserve">Weight of sub-index  in parent index </w:t>
            </w:r>
          </w:p>
        </w:tc>
      </w:tr>
      <w:tr>
        <w:trPr>
          <w:cantSplit/>
        </w:trPr>
        <w:tc>
          <w:tcPr>
            <w:tcW w:w="4550" w:type="dxa"/>
          </w:tcPr>
          <w:p>
            <w:pPr>
              <w:pStyle w:val="TableText"/>
            </w:pPr>
            <w:r>
              <w:t xml:space="preserve">VTS_core</w:t>
            </w:r>
          </w:p>
        </w:tc>
        <w:tc>
          <w:tcPr>
            <w:tcW w:w="4550" w:type="dxa"/>
          </w:tcPr>
          <w:p>
            <w:pPr>
              <w:pStyle w:val="TableText"/>
            </w:pPr>
            <w:r>
              <w:t xml:space="preserve">Raw equal-weight composite from 0 to 1</w:t>
            </w:r>
          </w:p>
        </w:tc>
      </w:tr>
      <w:tr>
        <w:trPr>
          <w:cantSplit/>
        </w:trPr>
        <w:tc>
          <w:tcPr>
            <w:tcW w:w="4550" w:type="dxa"/>
          </w:tcPr>
          <w:p>
            <w:pPr>
              <w:pStyle w:val="TableText"/>
            </w:pPr>
            <w:r>
              <w:t xml:space="preserve">ERU_core</w:t>
            </w:r>
          </w:p>
        </w:tc>
        <w:tc>
          <w:tcPr>
            <w:tcW w:w="4550" w:type="dxa"/>
          </w:tcPr>
          <w:p>
            <w:pPr>
              <w:pStyle w:val="TableText"/>
            </w:pPr>
            <w:r>
              <w:t xml:space="preserve">Dynamic reference benchmark in raw-score units</w:t>
            </w:r>
          </w:p>
        </w:tc>
      </w:tr>
      <w:tr>
        <w:trPr>
          <w:cantSplit/>
        </w:trPr>
        <w:tc>
          <w:tcPr>
            <w:tcW w:w="4550" w:type="dxa"/>
          </w:tcPr>
          <w:p>
            <w:pPr>
              <w:pStyle w:val="TableText"/>
            </w:pPr>
            <w:r>
              <w:t xml:space="preserve">VTS</w:t>
            </w:r>
          </w:p>
        </w:tc>
        <w:tc>
          <w:tcPr>
            <w:tcW w:w="4550" w:type="dxa"/>
          </w:tcPr>
          <w:p>
            <w:pPr>
              <w:pStyle w:val="TableText"/>
            </w:pPr>
            <w:r>
              <w:t xml:space="preserve">Standardised Value Transfer Score</w:t>
            </w:r>
          </w:p>
        </w:tc>
      </w:tr>
      <w:tr>
        <w:trPr>
          <w:cantSplit/>
        </w:trPr>
        <w:tc>
          <w:tcPr>
            <w:tcW w:w="4550" w:type="dxa"/>
          </w:tcPr>
          <w:p>
            <w:pPr>
              <w:pStyle w:val="TableText"/>
            </w:pPr>
            <w:r>
              <w:t xml:space="preserve">VRI</w:t>
            </w:r>
          </w:p>
        </w:tc>
        <w:tc>
          <w:tcPr>
            <w:tcW w:w="4550" w:type="dxa"/>
          </w:tcPr>
          <w:p>
            <w:pPr>
              <w:pStyle w:val="TableText"/>
            </w:pPr>
            <w:r>
              <w:t xml:space="preserve">Standardised Value Recognition Index</w:t>
            </w:r>
          </w:p>
        </w:tc>
      </w:tr>
      <w:tr>
        <w:trPr>
          <w:cantSplit/>
        </w:trPr>
        <w:tc>
          <w:tcPr>
            <w:tcW w:w="4550" w:type="dxa"/>
          </w:tcPr>
          <w:p>
            <w:pPr>
              <w:pStyle w:val="TableText"/>
            </w:pPr>
            <w:r>
              <w:t xml:space="preserve">VRS</w:t>
            </w:r>
          </w:p>
        </w:tc>
        <w:tc>
          <w:tcPr>
            <w:tcW w:w="4550" w:type="dxa"/>
          </w:tcPr>
          <w:p>
            <w:pPr>
              <w:pStyle w:val="TableText"/>
            </w:pPr>
            <w:r>
              <w:t xml:space="preserve">VOX Risk Score from 0 to 100</w:t>
            </w:r>
          </w:p>
        </w:tc>
      </w:tr>
      <w:tr>
        <w:trPr>
          <w:cantSplit/>
        </w:trPr>
        <w:tc>
          <w:tcPr>
            <w:tcW w:w="4550" w:type="dxa"/>
          </w:tcPr>
          <w:p>
            <w:pPr>
              <w:pStyle w:val="TableText"/>
            </w:pPr>
            <w:r>
              <w:t xml:space="preserve">VCS</w:t>
            </w:r>
          </w:p>
        </w:tc>
        <w:tc>
          <w:tcPr>
            <w:tcW w:w="4550" w:type="dxa"/>
          </w:tcPr>
          <w:p>
            <w:pPr>
              <w:pStyle w:val="TableText"/>
            </w:pPr>
            <w:r>
              <w:t xml:space="preserve">VOX Confidence Score from 0 to 100</w:t>
            </w:r>
          </w:p>
        </w:tc>
      </w:tr>
    </w:tbl>
    <w:p>
      <w:pPr>
        <w:pStyle w:val="Heading2"/>
      </w:pPr>
      <w:r>
        <w:t xml:space="preserve">A.2 Clipping function</w:t>
      </w:r>
    </w:p>
    <w:p>
      <w:pPr>
        <w:jc w:val="center"/>
      </w:pPr>
      <w:r>
        <w:drawing>
          <wp:inline distT="0" distB="0" distL="0" distR="0">
            <wp:extent cx="5638800" cy="560186"/>
            <wp:docPr id="47" name="Figure 47" descr="Specification figure or equation in Appendix A — Mathematical Specification; original available in the DOCX"/>
            <a:graphic>
              <a:graphicData uri="http://schemas.openxmlformats.org/drawingml/2006/picture">
                <pic:pic>
                  <pic:nvPicPr>
                    <pic:cNvPr id="0" name="image47.png"/>
                    <pic:cNvPicPr/>
                  </pic:nvPicPr>
                  <pic:blipFill>
                    <a:blip r:embed="rId49"/>
                    <a:stretch>
                      <a:fillRect/>
                    </a:stretch>
                  </pic:blipFill>
                  <pic:spPr>
                    <a:xfrm>
                      <a:off x="0" y="0"/>
                      <a:ext cx="5638800" cy="560186"/>
                    </a:xfrm>
                    <a:prstGeom prst="rect">
                      <a:avLst/>
                    </a:prstGeom>
                  </pic:spPr>
                </pic:pic>
              </a:graphicData>
            </a:graphic>
          </wp:inline>
        </w:drawing>
      </w:r>
    </w:p>
    <w:p>
      <w:pPr>
        <w:pStyle w:val="Heading2"/>
      </w:pPr>
      <w:r>
        <w:t xml:space="preserve">A.3 Positive-direction normalisation</w:t>
      </w:r>
    </w:p>
    <w:p>
      <w:pPr>
        <w:jc w:val="center"/>
      </w:pPr>
      <w:r>
        <w:drawing>
          <wp:inline distT="0" distB="0" distL="0" distR="0">
            <wp:extent cx="5638800" cy="746973"/>
            <wp:docPr id="48" name="Figure 48" descr="Specification figure or equation in Appendix A — Mathematical Specification; original available in the DOCX"/>
            <a:graphic>
              <a:graphicData uri="http://schemas.openxmlformats.org/drawingml/2006/picture">
                <pic:pic>
                  <pic:nvPicPr>
                    <pic:cNvPr id="0" name="image48.png"/>
                    <pic:cNvPicPr/>
                  </pic:nvPicPr>
                  <pic:blipFill>
                    <a:blip r:embed="rId50"/>
                    <a:stretch>
                      <a:fillRect/>
                    </a:stretch>
                  </pic:blipFill>
                  <pic:spPr>
                    <a:xfrm>
                      <a:off x="0" y="0"/>
                      <a:ext cx="5638800" cy="746973"/>
                    </a:xfrm>
                    <a:prstGeom prst="rect">
                      <a:avLst/>
                    </a:prstGeom>
                  </pic:spPr>
                </pic:pic>
              </a:graphicData>
            </a:graphic>
          </wp:inline>
        </w:drawing>
      </w:r>
    </w:p>
    <w:p>
      <w:pPr>
        <w:pStyle w:val="Heading2"/>
      </w:pPr>
      <w:r>
        <w:t xml:space="preserve">A.4 Negative-direction normalisation</w:t>
      </w:r>
    </w:p>
    <w:p>
      <w:pPr>
        <w:jc w:val="center"/>
      </w:pPr>
      <w:r>
        <w:drawing>
          <wp:inline distT="0" distB="0" distL="0" distR="0">
            <wp:extent cx="5638800" cy="657941"/>
            <wp:docPr id="49" name="Figure 49" descr="Specification figure or equation in Appendix A — Mathematical Specification; original available in the DOCX"/>
            <a:graphic>
              <a:graphicData uri="http://schemas.openxmlformats.org/drawingml/2006/picture">
                <pic:pic>
                  <pic:nvPicPr>
                    <pic:cNvPr id="0" name="image49.png"/>
                    <pic:cNvPicPr/>
                  </pic:nvPicPr>
                  <pic:blipFill>
                    <a:blip r:embed="rId51"/>
                    <a:stretch>
                      <a:fillRect/>
                    </a:stretch>
                  </pic:blipFill>
                  <pic:spPr>
                    <a:xfrm>
                      <a:off x="0" y="0"/>
                      <a:ext cx="5638800" cy="657941"/>
                    </a:xfrm>
                    <a:prstGeom prst="rect">
                      <a:avLst/>
                    </a:prstGeom>
                  </pic:spPr>
                </pic:pic>
              </a:graphicData>
            </a:graphic>
          </wp:inline>
        </w:drawing>
      </w:r>
    </w:p>
    <w:p>
      <w:pPr>
        <w:pStyle w:val="Heading2"/>
      </w:pPr>
      <w:r>
        <w:t xml:space="preserve">A.5 Log transformation</w:t>
      </w:r>
    </w:p>
    <w:p>
      <w:pPr>
        <w:jc w:val="center"/>
      </w:pPr>
      <w:r>
        <w:drawing>
          <wp:inline distT="0" distB="0" distL="0" distR="0">
            <wp:extent cx="5638800" cy="1034538"/>
            <wp:docPr id="50" name="Figure 50" descr="Specification figure or equation in Appendix A — Mathematical Specification; original available in the DOCX"/>
            <a:graphic>
              <a:graphicData uri="http://schemas.openxmlformats.org/drawingml/2006/picture">
                <pic:pic>
                  <pic:nvPicPr>
                    <pic:cNvPr id="0" name="image50.png"/>
                    <pic:cNvPicPr/>
                  </pic:nvPicPr>
                  <pic:blipFill>
                    <a:blip r:embed="rId52"/>
                    <a:stretch>
                      <a:fillRect/>
                    </a:stretch>
                  </pic:blipFill>
                  <pic:spPr>
                    <a:xfrm>
                      <a:off x="0" y="0"/>
                      <a:ext cx="5638800" cy="1034538"/>
                    </a:xfrm>
                    <a:prstGeom prst="rect">
                      <a:avLst/>
                    </a:prstGeom>
                  </pic:spPr>
                </pic:pic>
              </a:graphicData>
            </a:graphic>
          </wp:inline>
        </w:drawing>
      </w:r>
    </w:p>
    <w:p>
      <w:pPr>
        <w:pStyle w:val="Normal"/>
      </w:pPr>
      <w:r>
        <w:t xml:space="preserve">The logarithm base must be consistent within a metric version. Because benchmark anchors use the same transformation, the base does not change ordinal results but may affect numerical calibration.</w:t>
      </w:r>
    </w:p>
    <w:p>
      <w:pPr>
        <w:pStyle w:val="Heading2"/>
      </w:pPr>
      <w:r>
        <w:t xml:space="preserve">A.6 Exponentially weighted smoothing</w:t>
      </w:r>
    </w:p>
    <w:p>
      <w:pPr>
        <w:jc w:val="center"/>
      </w:pPr>
      <w:r>
        <w:drawing>
          <wp:inline distT="0" distB="0" distL="0" distR="0">
            <wp:extent cx="5638800" cy="740801"/>
            <wp:docPr id="51" name="Figure 51" descr="Specification figure or equation in Appendix A — Mathematical Specification; original available in the DOCX"/>
            <a:graphic>
              <a:graphicData uri="http://schemas.openxmlformats.org/drawingml/2006/picture">
                <pic:pic>
                  <pic:nvPicPr>
                    <pic:cNvPr id="0" name="image51.png"/>
                    <pic:cNvPicPr/>
                  </pic:nvPicPr>
                  <pic:blipFill>
                    <a:blip r:embed="rId53"/>
                    <a:stretch>
                      <a:fillRect/>
                    </a:stretch>
                  </pic:blipFill>
                  <pic:spPr>
                    <a:xfrm>
                      <a:off x="0" y="0"/>
                      <a:ext cx="5638800" cy="740801"/>
                    </a:xfrm>
                    <a:prstGeom prst="rect">
                      <a:avLst/>
                    </a:prstGeom>
                  </pic:spPr>
                </pic:pic>
              </a:graphicData>
            </a:graphic>
          </wp:inline>
        </w:drawing>
      </w:r>
    </w:p>
    <w:p>
      <w:pPr>
        <w:jc w:val="center"/>
      </w:pPr>
      <w:r>
        <w:drawing>
          <wp:inline distT="0" distB="0" distL="0" distR="0">
            <wp:extent cx="5638800" cy="3121479"/>
            <wp:docPr id="52" name="Figure 52" descr="Specification figure or equation in Appendix A — Mathematical Specification; original available in the DOCX"/>
            <a:graphic>
              <a:graphicData uri="http://schemas.openxmlformats.org/drawingml/2006/picture">
                <pic:pic>
                  <pic:nvPicPr>
                    <pic:cNvPr id="0" name="image52.png"/>
                    <pic:cNvPicPr/>
                  </pic:nvPicPr>
                  <pic:blipFill>
                    <a:blip r:embed="rId54"/>
                    <a:stretch>
                      <a:fillRect/>
                    </a:stretch>
                  </pic:blipFill>
                  <pic:spPr>
                    <a:xfrm>
                      <a:off x="0" y="0"/>
                      <a:ext cx="5638800" cy="3121479"/>
                    </a:xfrm>
                    <a:prstGeom prst="rect">
                      <a:avLst/>
                    </a:prstGeom>
                  </pic:spPr>
                </pic:pic>
              </a:graphicData>
            </a:graphic>
          </wp:inline>
        </w:drawing>
      </w:r>
    </w:p>
    <w:p>
      <w:pPr>
        <w:pStyle w:val="Heading2"/>
      </w:pPr>
      <w:r>
        <w:t xml:space="preserve">A.7 Parent-index aggregation</w:t>
      </w:r>
    </w:p>
    <w:p>
      <w:pPr>
        <w:jc w:val="center"/>
      </w:pPr>
      <w:r>
        <w:drawing>
          <wp:inline distT="0" distB="0" distL="0" distR="0">
            <wp:extent cx="5638800" cy="1302598"/>
            <wp:docPr id="53" name="Figure 53" descr="Specification figure or equation in Appendix A — Mathematical Specification; original available in the DOCX"/>
            <a:graphic>
              <a:graphicData uri="http://schemas.openxmlformats.org/drawingml/2006/picture">
                <pic:pic>
                  <pic:nvPicPr>
                    <pic:cNvPr id="0" name="image53.png"/>
                    <pic:cNvPicPr/>
                  </pic:nvPicPr>
                  <pic:blipFill>
                    <a:blip r:embed="rId55"/>
                    <a:stretch>
                      <a:fillRect/>
                    </a:stretch>
                  </pic:blipFill>
                  <pic:spPr>
                    <a:xfrm>
                      <a:off x="0" y="0"/>
                      <a:ext cx="5638800" cy="1302598"/>
                    </a:xfrm>
                    <a:prstGeom prst="rect">
                      <a:avLst/>
                    </a:prstGeom>
                  </pic:spPr>
                </pic:pic>
              </a:graphicData>
            </a:graphic>
          </wp:inline>
        </w:drawing>
      </w:r>
    </w:p>
    <w:p>
      <w:pPr>
        <w:pStyle w:val="Heading2"/>
      </w:pPr>
      <w:r>
        <w:t xml:space="preserve">A.8 Core VTS</w:t>
      </w:r>
    </w:p>
    <w:p>
      <w:pPr>
        <w:jc w:val="center"/>
      </w:pPr>
      <w:r>
        <w:drawing>
          <wp:inline distT="0" distB="0" distL="0" distR="0">
            <wp:extent cx="5638800" cy="640080"/>
            <wp:docPr id="54" name="Figure 54" descr="Specification figure or equation in Appendix A — Mathematical Specification; original available in the DOCX"/>
            <a:graphic>
              <a:graphicData uri="http://schemas.openxmlformats.org/drawingml/2006/picture">
                <pic:pic>
                  <pic:nvPicPr>
                    <pic:cNvPr id="0" name="image54.png"/>
                    <pic:cNvPicPr/>
                  </pic:nvPicPr>
                  <pic:blipFill>
                    <a:blip r:embed="rId56"/>
                    <a:stretch>
                      <a:fillRect/>
                    </a:stretch>
                  </pic:blipFill>
                  <pic:spPr>
                    <a:xfrm>
                      <a:off x="0" y="0"/>
                      <a:ext cx="5638800" cy="640080"/>
                    </a:xfrm>
                    <a:prstGeom prst="rect">
                      <a:avLst/>
                    </a:prstGeom>
                  </pic:spPr>
                </pic:pic>
              </a:graphicData>
            </a:graphic>
          </wp:inline>
        </w:drawing>
      </w:r>
    </w:p>
    <w:p>
      <w:pPr>
        <w:pStyle w:val="Heading2"/>
      </w:pPr>
      <w:r>
        <w:t xml:space="preserve">A.9 Economic Reference Unit</w:t>
      </w:r>
    </w:p>
    <w:p>
      <w:pPr>
        <w:jc w:val="center"/>
      </w:pPr>
      <w:r>
        <w:drawing>
          <wp:inline distT="0" distB="0" distL="0" distR="0">
            <wp:extent cx="5638800" cy="862605"/>
            <wp:docPr id="55" name="Figure 55" descr="Specification figure or equation in Appendix A — Mathematical Specification; original available in the DOCX"/>
            <a:graphic>
              <a:graphicData uri="http://schemas.openxmlformats.org/drawingml/2006/picture">
                <pic:pic>
                  <pic:nvPicPr>
                    <pic:cNvPr id="0" name="image55.png"/>
                    <pic:cNvPicPr/>
                  </pic:nvPicPr>
                  <pic:blipFill>
                    <a:blip r:embed="rId57"/>
                    <a:stretch>
                      <a:fillRect/>
                    </a:stretch>
                  </pic:blipFill>
                  <pic:spPr>
                    <a:xfrm>
                      <a:off x="0" y="0"/>
                      <a:ext cx="5638800" cy="862605"/>
                    </a:xfrm>
                    <a:prstGeom prst="rect">
                      <a:avLst/>
                    </a:prstGeom>
                  </pic:spPr>
                </pic:pic>
              </a:graphicData>
            </a:graphic>
          </wp:inline>
        </w:drawing>
      </w:r>
    </w:p>
    <w:p>
      <w:pPr>
        <w:jc w:val="center"/>
      </w:pPr>
      <w:r>
        <w:drawing>
          <wp:inline distT="0" distB="0" distL="0" distR="0">
            <wp:extent cx="5638800" cy="1597303"/>
            <wp:docPr id="56" name="Figure 56" descr="Specification figure or equation in Appendix A — Mathematical Specification; original available in the DOCX"/>
            <a:graphic>
              <a:graphicData uri="http://schemas.openxmlformats.org/drawingml/2006/picture">
                <pic:pic>
                  <pic:nvPicPr>
                    <pic:cNvPr id="0" name="image56.png"/>
                    <pic:cNvPicPr/>
                  </pic:nvPicPr>
                  <pic:blipFill>
                    <a:blip r:embed="rId58"/>
                    <a:stretch>
                      <a:fillRect/>
                    </a:stretch>
                  </pic:blipFill>
                  <pic:spPr>
                    <a:xfrm>
                      <a:off x="0" y="0"/>
                      <a:ext cx="5638800" cy="1597303"/>
                    </a:xfrm>
                    <a:prstGeom prst="rect">
                      <a:avLst/>
                    </a:prstGeom>
                  </pic:spPr>
                </pic:pic>
              </a:graphicData>
            </a:graphic>
          </wp:inline>
        </w:drawing>
      </w:r>
    </w:p>
    <w:p>
      <w:pPr>
        <w:pStyle w:val="Heading2"/>
      </w:pPr>
      <w:r>
        <w:t xml:space="preserve">A.10 Opportunity Gap</w:t>
      </w:r>
    </w:p>
    <w:p>
      <w:pPr>
        <w:jc w:val="center"/>
      </w:pPr>
      <w:r>
        <w:drawing>
          <wp:inline distT="0" distB="0" distL="0" distR="0">
            <wp:extent cx="5638800" cy="517908"/>
            <wp:docPr id="57" name="Figure 57" descr="Specification figure or equation in Appendix A — Mathematical Specification; original available in the DOCX"/>
            <a:graphic>
              <a:graphicData uri="http://schemas.openxmlformats.org/drawingml/2006/picture">
                <pic:pic>
                  <pic:nvPicPr>
                    <pic:cNvPr id="0" name="image57.png"/>
                    <pic:cNvPicPr/>
                  </pic:nvPicPr>
                  <pic:blipFill>
                    <a:blip r:embed="rId59"/>
                    <a:stretch>
                      <a:fillRect/>
                    </a:stretch>
                  </pic:blipFill>
                  <pic:spPr>
                    <a:xfrm>
                      <a:off x="0" y="0"/>
                      <a:ext cx="5638800" cy="517908"/>
                    </a:xfrm>
                    <a:prstGeom prst="rect">
                      <a:avLst/>
                    </a:prstGeom>
                  </pic:spPr>
                </pic:pic>
              </a:graphicData>
            </a:graphic>
          </wp:inline>
        </w:drawing>
      </w:r>
    </w:p>
    <w:p>
      <w:pPr>
        <w:pStyle w:val="Heading2"/>
      </w:pPr>
      <w:r>
        <w:t xml:space="preserve">A.11 V-FOREX reference ratio</w:t>
      </w:r>
    </w:p>
    <w:p>
      <w:pPr>
        <w:jc w:val="center"/>
      </w:pPr>
      <w:r>
        <w:drawing>
          <wp:inline distT="0" distB="0" distL="0" distR="0">
            <wp:extent cx="5638800" cy="1916636"/>
            <wp:docPr id="58" name="Figure 58" descr="Specification figure or equation in Appendix A — Mathematical Specification; original available in the DOCX"/>
            <a:graphic>
              <a:graphicData uri="http://schemas.openxmlformats.org/drawingml/2006/picture">
                <pic:pic>
                  <pic:nvPicPr>
                    <pic:cNvPr id="0" name="image58.png"/>
                    <pic:cNvPicPr/>
                  </pic:nvPicPr>
                  <pic:blipFill>
                    <a:blip r:embed="rId60"/>
                    <a:stretch>
                      <a:fillRect/>
                    </a:stretch>
                  </pic:blipFill>
                  <pic:spPr>
                    <a:xfrm>
                      <a:off x="0" y="0"/>
                      <a:ext cx="5638800" cy="1916636"/>
                    </a:xfrm>
                    <a:prstGeom prst="rect">
                      <a:avLst/>
                    </a:prstGeom>
                  </pic:spPr>
                </pic:pic>
              </a:graphicData>
            </a:graphic>
          </wp:inline>
        </w:drawing>
      </w:r>
    </w:p>
    <w:p>
      <w:pPr>
        <w:jc w:val="center"/>
      </w:pPr>
      <w:r>
        <w:drawing>
          <wp:inline distT="0" distB="0" distL="0" distR="0">
            <wp:extent cx="5638800" cy="742349"/>
            <wp:docPr id="59" name="Figure 59" descr="Specification figure or equation in Appendix A — Mathematical Specification; original available in the DOCX"/>
            <a:graphic>
              <a:graphicData uri="http://schemas.openxmlformats.org/drawingml/2006/picture">
                <pic:pic>
                  <pic:nvPicPr>
                    <pic:cNvPr id="0" name="image59.png"/>
                    <pic:cNvPicPr/>
                  </pic:nvPicPr>
                  <pic:blipFill>
                    <a:blip r:embed="rId61"/>
                    <a:stretch>
                      <a:fillRect/>
                    </a:stretch>
                  </pic:blipFill>
                  <pic:spPr>
                    <a:xfrm>
                      <a:off x="0" y="0"/>
                      <a:ext cx="5638800" cy="742349"/>
                    </a:xfrm>
                    <a:prstGeom prst="rect">
                      <a:avLst/>
                    </a:prstGeom>
                  </pic:spPr>
                </pic:pic>
              </a:graphicData>
            </a:graphic>
          </wp:inline>
        </w:drawing>
      </w:r>
    </w:p>
    <w:p>
      <w:pPr>
        <w:pStyle w:val="Heading2"/>
      </w:pPr>
      <w:r>
        <w:t xml:space="preserve">A.12 Optional indexed supply</w:t>
      </w:r>
    </w:p>
    <w:p>
      <w:pPr>
        <w:jc w:val="center"/>
      </w:pPr>
      <w:r>
        <w:drawing>
          <wp:inline distT="0" distB="0" distL="0" distR="0">
            <wp:extent cx="5638800" cy="514079"/>
            <wp:docPr id="60" name="Figure 60" descr="Specification figure or equation in Appendix A — Mathematical Specification; original available in the DOCX"/>
            <a:graphic>
              <a:graphicData uri="http://schemas.openxmlformats.org/drawingml/2006/picture">
                <pic:pic>
                  <pic:nvPicPr>
                    <pic:cNvPr id="0" name="image60.png"/>
                    <pic:cNvPicPr/>
                  </pic:nvPicPr>
                  <pic:blipFill>
                    <a:blip r:embed="rId62"/>
                    <a:stretch>
                      <a:fillRect/>
                    </a:stretch>
                  </pic:blipFill>
                  <pic:spPr>
                    <a:xfrm>
                      <a:off x="0" y="0"/>
                      <a:ext cx="5638800" cy="514079"/>
                    </a:xfrm>
                    <a:prstGeom prst="rect">
                      <a:avLst/>
                    </a:prstGeom>
                  </pic:spPr>
                </pic:pic>
              </a:graphicData>
            </a:graphic>
          </wp:inline>
        </w:drawing>
      </w:r>
    </w:p>
    <w:p>
      <w:pPr>
        <w:jc w:val="center"/>
      </w:pPr>
      <w:r>
        <w:drawing>
          <wp:inline distT="0" distB="0" distL="0" distR="0">
            <wp:extent cx="5638800" cy="812369"/>
            <wp:docPr id="61" name="Figure 61" descr="Specification figure or equation in Appendix A — Mathematical Specification; original available in the DOCX"/>
            <a:graphic>
              <a:graphicData uri="http://schemas.openxmlformats.org/drawingml/2006/picture">
                <pic:pic>
                  <pic:nvPicPr>
                    <pic:cNvPr id="0" name="image61.png"/>
                    <pic:cNvPicPr/>
                  </pic:nvPicPr>
                  <pic:blipFill>
                    <a:blip r:embed="rId63"/>
                    <a:stretch>
                      <a:fillRect/>
                    </a:stretch>
                  </pic:blipFill>
                  <pic:spPr>
                    <a:xfrm>
                      <a:off x="0" y="0"/>
                      <a:ext cx="5638800" cy="812369"/>
                    </a:xfrm>
                    <a:prstGeom prst="rect">
                      <a:avLst/>
                    </a:prstGeom>
                  </pic:spPr>
                </pic:pic>
              </a:graphicData>
            </a:graphic>
          </wp:inline>
        </w:drawing>
      </w:r>
    </w:p>
    <w:p>
      <w:pPr>
        <w:jc w:val="center"/>
      </w:pPr>
      <w:r>
        <w:drawing>
          <wp:inline distT="0" distB="0" distL="0" distR="0">
            <wp:extent cx="5638800" cy="733704"/>
            <wp:docPr id="62" name="Figure 62" descr="Specification figure or equation in Appendix A — Mathematical Specification; original available in the DOCX"/>
            <a:graphic>
              <a:graphicData uri="http://schemas.openxmlformats.org/drawingml/2006/picture">
                <pic:pic>
                  <pic:nvPicPr>
                    <pic:cNvPr id="0" name="image62.png"/>
                    <pic:cNvPicPr/>
                  </pic:nvPicPr>
                  <pic:blipFill>
                    <a:blip r:embed="rId64"/>
                    <a:stretch>
                      <a:fillRect/>
                    </a:stretch>
                  </pic:blipFill>
                  <pic:spPr>
                    <a:xfrm>
                      <a:off x="0" y="0"/>
                      <a:ext cx="5638800" cy="733704"/>
                    </a:xfrm>
                    <a:prstGeom prst="rect">
                      <a:avLst/>
                    </a:prstGeom>
                  </pic:spPr>
                </pic:pic>
              </a:graphicData>
            </a:graphic>
          </wp:inline>
        </w:drawing>
      </w:r>
    </w:p>
    <w:p>
      <w:pPr>
        <w:jc w:val="center"/>
      </w:pPr>
      <w:r>
        <w:drawing>
          <wp:inline distT="0" distB="0" distL="0" distR="0">
            <wp:extent cx="5638800" cy="1014984"/>
            <wp:docPr id="63" name="Figure 63" descr="Specification figure or equation in Appendix A — Mathematical Specification; original available in the DOCX"/>
            <a:graphic>
              <a:graphicData uri="http://schemas.openxmlformats.org/drawingml/2006/picture">
                <pic:pic>
                  <pic:nvPicPr>
                    <pic:cNvPr id="0" name="image63.png"/>
                    <pic:cNvPicPr/>
                  </pic:nvPicPr>
                  <pic:blipFill>
                    <a:blip r:embed="rId65"/>
                    <a:stretch>
                      <a:fillRect/>
                    </a:stretch>
                  </pic:blipFill>
                  <pic:spPr>
                    <a:xfrm>
                      <a:off x="0" y="0"/>
                      <a:ext cx="5638800" cy="1014984"/>
                    </a:xfrm>
                    <a:prstGeom prst="rect">
                      <a:avLst/>
                    </a:prstGeom>
                  </pic:spPr>
                </pic:pic>
              </a:graphicData>
            </a:graphic>
          </wp:inline>
        </w:drawing>
      </w:r>
    </w:p>
    <w:p>
      <w:pPr>
        <w:pStyle w:val="Heading2"/>
      </w:pPr>
      <w:r>
        <w:t xml:space="preserve">A.13 Rounding</w:t>
      </w:r>
    </w:p>
    <w:p>
      <w:pPr>
        <w:pStyle w:val="ListParagraph"/>
      </w:pPr>
      <w:r>
        <w:t xml:space="preserve">• Raw financial observations use their canonical integer or high-precision decimal representation.</w:t>
      </w:r>
    </w:p>
    <w:p>
      <w:pPr>
        <w:pStyle w:val="ListParagraph"/>
      </w:pPr>
      <w:r>
        <w:t xml:space="preserve">• Normalised sub-indices are stored with at least eight decimal places.</w:t>
      </w:r>
    </w:p>
    <w:p>
      <w:pPr>
        <w:pStyle w:val="ListParagraph"/>
      </w:pPr>
      <w:r>
        <w:t xml:space="preserve">• Parent indices are stored with at least six decimal places and displayed to two by default.</w:t>
      </w:r>
    </w:p>
    <w:p>
      <w:pPr>
        <w:pStyle w:val="ListParagraph"/>
      </w:pPr>
      <w:r>
        <w:t xml:space="preserve">• VTS, VRI and V-FOREX rates are stored with at least twelve decimal places and displayed to six by default.</w:t>
      </w:r>
    </w:p>
    <w:p>
      <w:pPr>
        <w:pStyle w:val="ListParagraph"/>
      </w:pPr>
      <w:r>
        <w:t xml:space="preserve">• Rounding occurs only at display boundaries, not during intermediate aggregation.</w:t>
      </w:r>
    </w:p>
    <w:p>
      <w:pPr>
        <w:pStyle w:val="Heading1"/>
        <w:pageBreakBefore/>
      </w:pPr>
      <w:r>
        <w:t xml:space="preserve">Appendix B — Canonical Metric Registry</w:t>
      </w:r>
    </w:p>
    <w:p>
      <w:pPr>
        <w:pStyle w:val="Normal"/>
      </w:pPr>
      <w:r>
        <w:t xml:space="preserve">The following registry is carried forward unchanged from Edition 3.1 into Edition 3.2. Detailed observation-level definitions are maintained as machine-readable governance artefacts. Edition 3.2 changes evidence infrastructure, not the canonical parent composition shown here.</w:t>
      </w:r>
    </w:p>
    <w:p>
      <w:pPr>
        <w:pStyle w:val="Heading2"/>
      </w:pPr>
      <w:r>
        <w:t xml:space="preserve">B.1 PoV registry</w:t>
      </w:r>
    </w:p>
    <w:tbl>
      <w:tblPr>
        <w:tblStyle w:val="TableGrid"/>
        <w:tblW w:w="9100" w:type="dxa"/>
        <w:tblLayout w:type="autofit"/>
      </w:tblPr>
      <w:tblGrid>
        <w:gridCol w:w="1820"/>
        <w:gridCol w:w="1820"/>
        <w:gridCol w:w="1820"/>
        <w:gridCol w:w="1820"/>
        <w:gridCol w:w="1820"/>
      </w:tblGrid>
      <w:tr>
        <w:trPr>
          <w:cantSplit/>
          <w:tblHeader/>
        </w:trPr>
        <w:tc>
          <w:tcPr>
            <w:tcW w:w="1820" w:type="dxa"/>
          </w:tcPr>
          <w:p>
            <w:pPr>
              <w:pStyle w:val="TableHeader"/>
            </w:pPr>
            <w:r>
              <w:t xml:space="preserve">ID</w:t>
            </w:r>
          </w:p>
        </w:tc>
        <w:tc>
          <w:tcPr>
            <w:tcW w:w="1820" w:type="dxa"/>
          </w:tcPr>
          <w:p>
            <w:pPr>
              <w:pStyle w:val="TableHeader"/>
            </w:pPr>
            <w:r>
              <w:t xml:space="preserve">Sub-index</w:t>
            </w:r>
          </w:p>
        </w:tc>
        <w:tc>
          <w:tcPr>
            <w:tcW w:w="1820" w:type="dxa"/>
          </w:tcPr>
          <w:p>
            <w:pPr>
              <w:pStyle w:val="TableHeader"/>
            </w:pPr>
            <w:r>
              <w:t xml:space="preserve">Weight</w:t>
            </w:r>
          </w:p>
        </w:tc>
        <w:tc>
          <w:tcPr>
            <w:tcW w:w="1820" w:type="dxa"/>
          </w:tcPr>
          <w:p>
            <w:pPr>
              <w:pStyle w:val="TableHeader"/>
            </w:pPr>
            <w:r>
              <w:t xml:space="preserve">Direction</w:t>
            </w:r>
          </w:p>
        </w:tc>
        <w:tc>
          <w:tcPr>
            <w:tcW w:w="1820" w:type="dxa"/>
          </w:tcPr>
          <w:p>
            <w:pPr>
              <w:pStyle w:val="TableHeader"/>
            </w:pPr>
            <w:r>
              <w:t xml:space="preserve">Default horizon</w:t>
            </w:r>
          </w:p>
        </w:tc>
      </w:tr>
      <w:tr>
        <w:trPr>
          <w:cantSplit/>
        </w:trPr>
        <w:tc>
          <w:tcPr>
            <w:tcW w:w="1820" w:type="dxa"/>
          </w:tcPr>
          <w:p>
            <w:pPr>
              <w:pStyle w:val="TableText"/>
            </w:pPr>
            <w:r>
              <w:t xml:space="preserve">POV.ES</w:t>
            </w:r>
          </w:p>
        </w:tc>
        <w:tc>
          <w:tcPr>
            <w:tcW w:w="1820" w:type="dxa"/>
          </w:tcPr>
          <w:p>
            <w:pPr>
              <w:pStyle w:val="TableText"/>
            </w:pPr>
            <w:r>
              <w:t xml:space="preserve">Economic settlement</w:t>
            </w:r>
          </w:p>
        </w:tc>
        <w:tc>
          <w:tcPr>
            <w:tcW w:w="1820" w:type="dxa"/>
          </w:tcPr>
          <w:p>
            <w:pPr>
              <w:pStyle w:val="TableText"/>
            </w:pPr>
            <w:r>
              <w:t xml:space="preserve">25%</w:t>
            </w:r>
          </w:p>
        </w:tc>
        <w:tc>
          <w:tcPr>
            <w:tcW w:w="1820" w:type="dxa"/>
          </w:tcPr>
          <w:p>
            <w:pPr>
              <w:pStyle w:val="TableText"/>
            </w:pPr>
            <w:r>
              <w:t xml:space="preserve">Positive with quality filters</w:t>
            </w:r>
          </w:p>
        </w:tc>
        <w:tc>
          <w:tcPr>
            <w:tcW w:w="1820" w:type="dxa"/>
          </w:tcPr>
          <w:p>
            <w:pPr>
              <w:pStyle w:val="TableText"/>
            </w:pPr>
            <w:r>
              <w:t xml:space="preserve">30/90 days</w:t>
            </w:r>
          </w:p>
        </w:tc>
      </w:tr>
      <w:tr>
        <w:trPr>
          <w:cantSplit/>
        </w:trPr>
        <w:tc>
          <w:tcPr>
            <w:tcW w:w="1820" w:type="dxa"/>
          </w:tcPr>
          <w:p>
            <w:pPr>
              <w:pStyle w:val="TableText"/>
            </w:pPr>
            <w:r>
              <w:t xml:space="preserve">POV.FR</w:t>
            </w:r>
          </w:p>
        </w:tc>
        <w:tc>
          <w:tcPr>
            <w:tcW w:w="1820" w:type="dxa"/>
          </w:tcPr>
          <w:p>
            <w:pPr>
              <w:pStyle w:val="TableText"/>
            </w:pPr>
            <w:r>
              <w:t xml:space="preserve">Fees and protocol revenue</w:t>
            </w:r>
          </w:p>
        </w:tc>
        <w:tc>
          <w:tcPr>
            <w:tcW w:w="1820" w:type="dxa"/>
          </w:tcPr>
          <w:p>
            <w:pPr>
              <w:pStyle w:val="TableText"/>
            </w:pPr>
            <w:r>
              <w:t xml:space="preserve">20%</w:t>
            </w:r>
          </w:p>
        </w:tc>
        <w:tc>
          <w:tcPr>
            <w:tcW w:w="1820" w:type="dxa"/>
          </w:tcPr>
          <w:p>
            <w:pPr>
              <w:pStyle w:val="TableText"/>
            </w:pPr>
            <w:r>
              <w:t xml:space="preserve">Bounded/positive</w:t>
            </w:r>
          </w:p>
        </w:tc>
        <w:tc>
          <w:tcPr>
            <w:tcW w:w="1820" w:type="dxa"/>
          </w:tcPr>
          <w:p>
            <w:pPr>
              <w:pStyle w:val="TableText"/>
            </w:pPr>
            <w:r>
              <w:t xml:space="preserve">30/90 days</w:t>
            </w:r>
          </w:p>
        </w:tc>
      </w:tr>
      <w:tr>
        <w:trPr>
          <w:cantSplit/>
        </w:trPr>
        <w:tc>
          <w:tcPr>
            <w:tcW w:w="1820" w:type="dxa"/>
          </w:tcPr>
          <w:p>
            <w:pPr>
              <w:pStyle w:val="TableText"/>
            </w:pPr>
            <w:r>
              <w:t xml:space="preserve">POV.AU</w:t>
            </w:r>
          </w:p>
        </w:tc>
        <w:tc>
          <w:tcPr>
            <w:tcW w:w="1820" w:type="dxa"/>
          </w:tcPr>
          <w:p>
            <w:pPr>
              <w:pStyle w:val="TableText"/>
            </w:pPr>
            <w:r>
              <w:t xml:space="preserve">Active economic usage</w:t>
            </w:r>
          </w:p>
        </w:tc>
        <w:tc>
          <w:tcPr>
            <w:tcW w:w="1820" w:type="dxa"/>
          </w:tcPr>
          <w:p>
            <w:pPr>
              <w:pStyle w:val="TableText"/>
            </w:pPr>
            <w:r>
              <w:t xml:space="preserve">20%</w:t>
            </w:r>
          </w:p>
        </w:tc>
        <w:tc>
          <w:tcPr>
            <w:tcW w:w="1820" w:type="dxa"/>
          </w:tcPr>
          <w:p>
            <w:pPr>
              <w:pStyle w:val="TableText"/>
            </w:pPr>
            <w:r>
              <w:t xml:space="preserve">Positive with concentration adjustment</w:t>
            </w:r>
          </w:p>
        </w:tc>
        <w:tc>
          <w:tcPr>
            <w:tcW w:w="1820" w:type="dxa"/>
          </w:tcPr>
          <w:p>
            <w:pPr>
              <w:pStyle w:val="TableText"/>
            </w:pPr>
            <w:r>
              <w:t xml:space="preserve">30/90 days</w:t>
            </w:r>
          </w:p>
        </w:tc>
      </w:tr>
      <w:tr>
        <w:trPr>
          <w:cantSplit/>
        </w:trPr>
        <w:tc>
          <w:tcPr>
            <w:tcW w:w="1820" w:type="dxa"/>
          </w:tcPr>
          <w:p>
            <w:pPr>
              <w:pStyle w:val="TableText"/>
            </w:pPr>
            <w:r>
              <w:t xml:space="preserve">POV.VC</w:t>
            </w:r>
          </w:p>
        </w:tc>
        <w:tc>
          <w:tcPr>
            <w:tcW w:w="1820" w:type="dxa"/>
          </w:tcPr>
          <w:p>
            <w:pPr>
              <w:pStyle w:val="TableText"/>
            </w:pPr>
            <w:r>
              <w:t xml:space="preserve">Value capture and sustainability</w:t>
            </w:r>
          </w:p>
        </w:tc>
        <w:tc>
          <w:tcPr>
            <w:tcW w:w="1820" w:type="dxa"/>
          </w:tcPr>
          <w:p>
            <w:pPr>
              <w:pStyle w:val="TableText"/>
            </w:pPr>
            <w:r>
              <w:t xml:space="preserve">20%</w:t>
            </w:r>
          </w:p>
        </w:tc>
        <w:tc>
          <w:tcPr>
            <w:tcW w:w="1820" w:type="dxa"/>
          </w:tcPr>
          <w:p>
            <w:pPr>
              <w:pStyle w:val="TableText"/>
            </w:pPr>
            <w:r>
              <w:t xml:space="preserve">Positive</w:t>
            </w:r>
          </w:p>
        </w:tc>
        <w:tc>
          <w:tcPr>
            <w:tcW w:w="1820" w:type="dxa"/>
          </w:tcPr>
          <w:p>
            <w:pPr>
              <w:pStyle w:val="TableText"/>
            </w:pPr>
            <w:r>
              <w:t xml:space="preserve">90/365 days</w:t>
            </w:r>
          </w:p>
        </w:tc>
      </w:tr>
      <w:tr>
        <w:trPr>
          <w:cantSplit/>
        </w:trPr>
        <w:tc>
          <w:tcPr>
            <w:tcW w:w="1820" w:type="dxa"/>
          </w:tcPr>
          <w:p>
            <w:pPr>
              <w:pStyle w:val="TableText"/>
            </w:pPr>
            <w:r>
              <w:t xml:space="preserve">POV.PQ</w:t>
            </w:r>
          </w:p>
        </w:tc>
        <w:tc>
          <w:tcPr>
            <w:tcW w:w="1820" w:type="dxa"/>
          </w:tcPr>
          <w:p>
            <w:pPr>
              <w:pStyle w:val="TableText"/>
            </w:pPr>
            <w:r>
              <w:t xml:space="preserve">Persistence and activity quality</w:t>
            </w:r>
          </w:p>
        </w:tc>
        <w:tc>
          <w:tcPr>
            <w:tcW w:w="1820" w:type="dxa"/>
          </w:tcPr>
          <w:p>
            <w:pPr>
              <w:pStyle w:val="TableText"/>
            </w:pPr>
            <w:r>
              <w:t xml:space="preserve">15%</w:t>
            </w:r>
          </w:p>
        </w:tc>
        <w:tc>
          <w:tcPr>
            <w:tcW w:w="1820" w:type="dxa"/>
          </w:tcPr>
          <w:p>
            <w:pPr>
              <w:pStyle w:val="TableText"/>
            </w:pPr>
            <w:r>
              <w:t xml:space="preserve">Positive</w:t>
            </w:r>
          </w:p>
        </w:tc>
        <w:tc>
          <w:tcPr>
            <w:tcW w:w="1820" w:type="dxa"/>
          </w:tcPr>
          <w:p>
            <w:pPr>
              <w:pStyle w:val="TableText"/>
            </w:pPr>
            <w:r>
              <w:t xml:space="preserve">90/365 days</w:t>
            </w:r>
          </w:p>
        </w:tc>
      </w:tr>
    </w:tbl>
    <w:p>
      <w:pPr>
        <w:pStyle w:val="Heading2"/>
      </w:pPr>
      <w:r>
        <w:t xml:space="preserve">B.2 OPI registry</w:t>
      </w:r>
    </w:p>
    <w:tbl>
      <w:tblPr>
        <w:tblStyle w:val="TableGrid"/>
        <w:tblW w:w="9100" w:type="dxa"/>
        <w:tblLayout w:type="autofit"/>
      </w:tblPr>
      <w:tblGrid>
        <w:gridCol w:w="1820"/>
        <w:gridCol w:w="1820"/>
        <w:gridCol w:w="1820"/>
        <w:gridCol w:w="1820"/>
        <w:gridCol w:w="1820"/>
      </w:tblGrid>
      <w:tr>
        <w:trPr>
          <w:cantSplit/>
          <w:tblHeader/>
        </w:trPr>
        <w:tc>
          <w:tcPr>
            <w:tcW w:w="1820" w:type="dxa"/>
          </w:tcPr>
          <w:p>
            <w:pPr>
              <w:pStyle w:val="TableHeader"/>
            </w:pPr>
            <w:r>
              <w:t xml:space="preserve">ID</w:t>
            </w:r>
          </w:p>
        </w:tc>
        <w:tc>
          <w:tcPr>
            <w:tcW w:w="1820" w:type="dxa"/>
          </w:tcPr>
          <w:p>
            <w:pPr>
              <w:pStyle w:val="TableHeader"/>
            </w:pPr>
            <w:r>
              <w:t xml:space="preserve">Sub-index</w:t>
            </w:r>
          </w:p>
        </w:tc>
        <w:tc>
          <w:tcPr>
            <w:tcW w:w="1820" w:type="dxa"/>
          </w:tcPr>
          <w:p>
            <w:pPr>
              <w:pStyle w:val="TableHeader"/>
            </w:pPr>
            <w:r>
              <w:t xml:space="preserve">Weight</w:t>
            </w:r>
          </w:p>
        </w:tc>
        <w:tc>
          <w:tcPr>
            <w:tcW w:w="1820" w:type="dxa"/>
          </w:tcPr>
          <w:p>
            <w:pPr>
              <w:pStyle w:val="TableHeader"/>
            </w:pPr>
            <w:r>
              <w:t xml:space="preserve">Direction</w:t>
            </w:r>
          </w:p>
        </w:tc>
        <w:tc>
          <w:tcPr>
            <w:tcW w:w="1820" w:type="dxa"/>
          </w:tcPr>
          <w:p>
            <w:pPr>
              <w:pStyle w:val="TableHeader"/>
            </w:pPr>
            <w:r>
              <w:t xml:space="preserve">Default horizon</w:t>
            </w:r>
          </w:p>
        </w:tc>
      </w:tr>
      <w:tr>
        <w:trPr>
          <w:cantSplit/>
        </w:trPr>
        <w:tc>
          <w:tcPr>
            <w:tcW w:w="1820" w:type="dxa"/>
          </w:tcPr>
          <w:p>
            <w:pPr>
              <w:pStyle w:val="TableText"/>
            </w:pPr>
            <w:r>
              <w:t xml:space="preserve">OPI.AP</w:t>
            </w:r>
          </w:p>
        </w:tc>
        <w:tc>
          <w:tcPr>
            <w:tcW w:w="1820" w:type="dxa"/>
          </w:tcPr>
          <w:p>
            <w:pPr>
              <w:pStyle w:val="TableText"/>
            </w:pPr>
            <w:r>
              <w:t xml:space="preserve">Active participant breadth</w:t>
            </w:r>
          </w:p>
        </w:tc>
        <w:tc>
          <w:tcPr>
            <w:tcW w:w="1820" w:type="dxa"/>
          </w:tcPr>
          <w:p>
            <w:pPr>
              <w:pStyle w:val="TableText"/>
            </w:pPr>
            <w:r>
              <w:t xml:space="preserve">25%</w:t>
            </w:r>
          </w:p>
        </w:tc>
        <w:tc>
          <w:tcPr>
            <w:tcW w:w="1820" w:type="dxa"/>
          </w:tcPr>
          <w:p>
            <w:pPr>
              <w:pStyle w:val="TableText"/>
            </w:pPr>
            <w:r>
              <w:t xml:space="preserve">Positive/inverse concentration</w:t>
            </w:r>
          </w:p>
        </w:tc>
        <w:tc>
          <w:tcPr>
            <w:tcW w:w="1820" w:type="dxa"/>
          </w:tcPr>
          <w:p>
            <w:pPr>
              <w:pStyle w:val="TableText"/>
            </w:pPr>
            <w:r>
              <w:t xml:space="preserve">30/90 days</w:t>
            </w:r>
          </w:p>
        </w:tc>
      </w:tr>
      <w:tr>
        <w:trPr>
          <w:cantSplit/>
        </w:trPr>
        <w:tc>
          <w:tcPr>
            <w:tcW w:w="1820" w:type="dxa"/>
          </w:tcPr>
          <w:p>
            <w:pPr>
              <w:pStyle w:val="TableText"/>
            </w:pPr>
            <w:r>
              <w:t xml:space="preserve">OPI.SP</w:t>
            </w:r>
          </w:p>
        </w:tc>
        <w:tc>
          <w:tcPr>
            <w:tcW w:w="1820" w:type="dxa"/>
          </w:tcPr>
          <w:p>
            <w:pPr>
              <w:pStyle w:val="TableText"/>
            </w:pPr>
            <w:r>
              <w:t xml:space="preserve">Security participation</w:t>
            </w:r>
          </w:p>
        </w:tc>
        <w:tc>
          <w:tcPr>
            <w:tcW w:w="1820" w:type="dxa"/>
          </w:tcPr>
          <w:p>
            <w:pPr>
              <w:pStyle w:val="TableText"/>
            </w:pPr>
            <w:r>
              <w:t xml:space="preserve">20%</w:t>
            </w:r>
          </w:p>
        </w:tc>
        <w:tc>
          <w:tcPr>
            <w:tcW w:w="1820" w:type="dxa"/>
          </w:tcPr>
          <w:p>
            <w:pPr>
              <w:pStyle w:val="TableText"/>
            </w:pPr>
            <w:r>
              <w:t xml:space="preserve">Positive/inverse concentration</w:t>
            </w:r>
          </w:p>
        </w:tc>
        <w:tc>
          <w:tcPr>
            <w:tcW w:w="1820" w:type="dxa"/>
          </w:tcPr>
          <w:p>
            <w:pPr>
              <w:pStyle w:val="TableText"/>
            </w:pPr>
            <w:r>
              <w:t xml:space="preserve">30/90 days</w:t>
            </w:r>
          </w:p>
        </w:tc>
      </w:tr>
      <w:tr>
        <w:trPr>
          <w:cantSplit/>
        </w:trPr>
        <w:tc>
          <w:tcPr>
            <w:tcW w:w="1820" w:type="dxa"/>
          </w:tcPr>
          <w:p>
            <w:pPr>
              <w:pStyle w:val="TableText"/>
            </w:pPr>
            <w:r>
              <w:t xml:space="preserve">OPI.GP</w:t>
            </w:r>
          </w:p>
        </w:tc>
        <w:tc>
          <w:tcPr>
            <w:tcW w:w="1820" w:type="dxa"/>
          </w:tcPr>
          <w:p>
            <w:pPr>
              <w:pStyle w:val="TableText"/>
            </w:pPr>
            <w:r>
              <w:t xml:space="preserve">Governance participation</w:t>
            </w:r>
          </w:p>
        </w:tc>
        <w:tc>
          <w:tcPr>
            <w:tcW w:w="1820" w:type="dxa"/>
          </w:tcPr>
          <w:p>
            <w:pPr>
              <w:pStyle w:val="TableText"/>
            </w:pPr>
            <w:r>
              <w:t xml:space="preserve">15%</w:t>
            </w:r>
          </w:p>
        </w:tc>
        <w:tc>
          <w:tcPr>
            <w:tcW w:w="1820" w:type="dxa"/>
          </w:tcPr>
          <w:p>
            <w:pPr>
              <w:pStyle w:val="TableText"/>
            </w:pPr>
            <w:r>
              <w:t xml:space="preserve">Positive with quality filters</w:t>
            </w:r>
          </w:p>
        </w:tc>
        <w:tc>
          <w:tcPr>
            <w:tcW w:w="1820" w:type="dxa"/>
          </w:tcPr>
          <w:p>
            <w:pPr>
              <w:pStyle w:val="TableText"/>
            </w:pPr>
            <w:r>
              <w:t xml:space="preserve">180/365 days</w:t>
            </w:r>
          </w:p>
        </w:tc>
      </w:tr>
      <w:tr>
        <w:trPr>
          <w:cantSplit/>
        </w:trPr>
        <w:tc>
          <w:tcPr>
            <w:tcW w:w="1820" w:type="dxa"/>
          </w:tcPr>
          <w:p>
            <w:pPr>
              <w:pStyle w:val="TableText"/>
            </w:pPr>
            <w:r>
              <w:t xml:space="preserve">OPI.DP</w:t>
            </w:r>
          </w:p>
        </w:tc>
        <w:tc>
          <w:tcPr>
            <w:tcW w:w="1820" w:type="dxa"/>
          </w:tcPr>
          <w:p>
            <w:pPr>
              <w:pStyle w:val="TableText"/>
            </w:pPr>
            <w:r>
              <w:t xml:space="preserve">Developer participation</w:t>
            </w:r>
          </w:p>
        </w:tc>
        <w:tc>
          <w:tcPr>
            <w:tcW w:w="1820" w:type="dxa"/>
          </w:tcPr>
          <w:p>
            <w:pPr>
              <w:pStyle w:val="TableText"/>
            </w:pPr>
            <w:r>
              <w:t xml:space="preserve">20%</w:t>
            </w:r>
          </w:p>
        </w:tc>
        <w:tc>
          <w:tcPr>
            <w:tcW w:w="1820" w:type="dxa"/>
          </w:tcPr>
          <w:p>
            <w:pPr>
              <w:pStyle w:val="TableText"/>
            </w:pPr>
            <w:r>
              <w:t xml:space="preserve">Positive with retention</w:t>
            </w:r>
          </w:p>
        </w:tc>
        <w:tc>
          <w:tcPr>
            <w:tcW w:w="1820" w:type="dxa"/>
          </w:tcPr>
          <w:p>
            <w:pPr>
              <w:pStyle w:val="TableText"/>
            </w:pPr>
            <w:r>
              <w:t xml:space="preserve">90/365 days</w:t>
            </w:r>
          </w:p>
        </w:tc>
      </w:tr>
      <w:tr>
        <w:trPr>
          <w:cantSplit/>
        </w:trPr>
        <w:tc>
          <w:tcPr>
            <w:tcW w:w="1820" w:type="dxa"/>
          </w:tcPr>
          <w:p>
            <w:pPr>
              <w:pStyle w:val="TableText"/>
            </w:pPr>
            <w:r>
              <w:t xml:space="preserve">OPI.DR</w:t>
            </w:r>
          </w:p>
        </w:tc>
        <w:tc>
          <w:tcPr>
            <w:tcW w:w="1820" w:type="dxa"/>
          </w:tcPr>
          <w:p>
            <w:pPr>
              <w:pStyle w:val="TableText"/>
            </w:pPr>
            <w:r>
              <w:t xml:space="preserve">Distribution and retention</w:t>
            </w:r>
          </w:p>
        </w:tc>
        <w:tc>
          <w:tcPr>
            <w:tcW w:w="1820" w:type="dxa"/>
          </w:tcPr>
          <w:p>
            <w:pPr>
              <w:pStyle w:val="TableText"/>
            </w:pPr>
            <w:r>
              <w:t xml:space="preserve">20%</w:t>
            </w:r>
          </w:p>
        </w:tc>
        <w:tc>
          <w:tcPr>
            <w:tcW w:w="1820" w:type="dxa"/>
          </w:tcPr>
          <w:p>
            <w:pPr>
              <w:pStyle w:val="TableText"/>
            </w:pPr>
            <w:r>
              <w:t xml:space="preserve">Inverse concentration/positive retention</w:t>
            </w:r>
          </w:p>
        </w:tc>
        <w:tc>
          <w:tcPr>
            <w:tcW w:w="1820" w:type="dxa"/>
          </w:tcPr>
          <w:p>
            <w:pPr>
              <w:pStyle w:val="TableText"/>
            </w:pPr>
            <w:r>
              <w:t xml:space="preserve">90/365 days</w:t>
            </w:r>
          </w:p>
        </w:tc>
      </w:tr>
    </w:tbl>
    <w:p>
      <w:pPr>
        <w:pStyle w:val="Heading2"/>
      </w:pPr>
      <w:r>
        <w:t xml:space="preserve">B.3 DLI registry</w:t>
      </w:r>
    </w:p>
    <w:tbl>
      <w:tblPr>
        <w:tblStyle w:val="TableGrid"/>
        <w:tblW w:w="9100" w:type="dxa"/>
        <w:tblLayout w:type="autofit"/>
      </w:tblPr>
      <w:tblGrid>
        <w:gridCol w:w="1820"/>
        <w:gridCol w:w="1820"/>
        <w:gridCol w:w="1820"/>
        <w:gridCol w:w="1820"/>
        <w:gridCol w:w="1820"/>
      </w:tblGrid>
      <w:tr>
        <w:trPr>
          <w:cantSplit/>
          <w:tblHeader/>
        </w:trPr>
        <w:tc>
          <w:tcPr>
            <w:tcW w:w="1820" w:type="dxa"/>
          </w:tcPr>
          <w:p>
            <w:pPr>
              <w:pStyle w:val="TableHeader"/>
            </w:pPr>
            <w:r>
              <w:t xml:space="preserve">ID</w:t>
            </w:r>
          </w:p>
        </w:tc>
        <w:tc>
          <w:tcPr>
            <w:tcW w:w="1820" w:type="dxa"/>
          </w:tcPr>
          <w:p>
            <w:pPr>
              <w:pStyle w:val="TableHeader"/>
            </w:pPr>
            <w:r>
              <w:t xml:space="preserve">Sub-index</w:t>
            </w:r>
          </w:p>
        </w:tc>
        <w:tc>
          <w:tcPr>
            <w:tcW w:w="1820" w:type="dxa"/>
          </w:tcPr>
          <w:p>
            <w:pPr>
              <w:pStyle w:val="TableHeader"/>
            </w:pPr>
            <w:r>
              <w:t xml:space="preserve">Weight</w:t>
            </w:r>
          </w:p>
        </w:tc>
        <w:tc>
          <w:tcPr>
            <w:tcW w:w="1820" w:type="dxa"/>
          </w:tcPr>
          <w:p>
            <w:pPr>
              <w:pStyle w:val="TableHeader"/>
            </w:pPr>
            <w:r>
              <w:t xml:space="preserve">Direction</w:t>
            </w:r>
          </w:p>
        </w:tc>
        <w:tc>
          <w:tcPr>
            <w:tcW w:w="1820" w:type="dxa"/>
          </w:tcPr>
          <w:p>
            <w:pPr>
              <w:pStyle w:val="TableHeader"/>
            </w:pPr>
            <w:r>
              <w:t xml:space="preserve">Default horizon</w:t>
            </w:r>
          </w:p>
        </w:tc>
      </w:tr>
      <w:tr>
        <w:trPr>
          <w:cantSplit/>
        </w:trPr>
        <w:tc>
          <w:tcPr>
            <w:tcW w:w="1820" w:type="dxa"/>
          </w:tcPr>
          <w:p>
            <w:pPr>
              <w:pStyle w:val="TableText"/>
            </w:pPr>
            <w:r>
              <w:t xml:space="preserve">DLI.ED</w:t>
            </w:r>
          </w:p>
        </w:tc>
        <w:tc>
          <w:tcPr>
            <w:tcW w:w="1820" w:type="dxa"/>
          </w:tcPr>
          <w:p>
            <w:pPr>
              <w:pStyle w:val="TableText"/>
            </w:pPr>
            <w:r>
              <w:t xml:space="preserve">Executable depth</w:t>
            </w:r>
          </w:p>
        </w:tc>
        <w:tc>
          <w:tcPr>
            <w:tcW w:w="1820" w:type="dxa"/>
          </w:tcPr>
          <w:p>
            <w:pPr>
              <w:pStyle w:val="TableText"/>
            </w:pPr>
            <w:r>
              <w:t xml:space="preserve">25%</w:t>
            </w:r>
          </w:p>
        </w:tc>
        <w:tc>
          <w:tcPr>
            <w:tcW w:w="1820" w:type="dxa"/>
          </w:tcPr>
          <w:p>
            <w:pPr>
              <w:pStyle w:val="TableText"/>
            </w:pPr>
            <w:r>
              <w:t xml:space="preserve">Positive</w:t>
            </w:r>
          </w:p>
        </w:tc>
        <w:tc>
          <w:tcPr>
            <w:tcW w:w="1820" w:type="dxa"/>
          </w:tcPr>
          <w:p>
            <w:pPr>
              <w:pStyle w:val="TableText"/>
            </w:pPr>
            <w:r>
              <w:t xml:space="preserve">30/90 days</w:t>
            </w:r>
          </w:p>
        </w:tc>
      </w:tr>
      <w:tr>
        <w:trPr>
          <w:cantSplit/>
        </w:trPr>
        <w:tc>
          <w:tcPr>
            <w:tcW w:w="1820" w:type="dxa"/>
          </w:tcPr>
          <w:p>
            <w:pPr>
              <w:pStyle w:val="TableText"/>
            </w:pPr>
            <w:r>
              <w:t xml:space="preserve">DLI.SE</w:t>
            </w:r>
          </w:p>
        </w:tc>
        <w:tc>
          <w:tcPr>
            <w:tcW w:w="1820" w:type="dxa"/>
          </w:tcPr>
          <w:p>
            <w:pPr>
              <w:pStyle w:val="TableText"/>
            </w:pPr>
            <w:r>
              <w:t xml:space="preserve">Slippage efficiency</w:t>
            </w:r>
          </w:p>
        </w:tc>
        <w:tc>
          <w:tcPr>
            <w:tcW w:w="1820" w:type="dxa"/>
          </w:tcPr>
          <w:p>
            <w:pPr>
              <w:pStyle w:val="TableText"/>
            </w:pPr>
            <w:r>
              <w:t xml:space="preserve">25%</w:t>
            </w:r>
          </w:p>
        </w:tc>
        <w:tc>
          <w:tcPr>
            <w:tcW w:w="1820" w:type="dxa"/>
          </w:tcPr>
          <w:p>
            <w:pPr>
              <w:pStyle w:val="TableText"/>
            </w:pPr>
            <w:r>
              <w:t xml:space="preserve">Negative slippage</w:t>
            </w:r>
          </w:p>
        </w:tc>
        <w:tc>
          <w:tcPr>
            <w:tcW w:w="1820" w:type="dxa"/>
          </w:tcPr>
          <w:p>
            <w:pPr>
              <w:pStyle w:val="TableText"/>
            </w:pPr>
            <w:r>
              <w:t xml:space="preserve">30/90 days</w:t>
            </w:r>
          </w:p>
        </w:tc>
      </w:tr>
      <w:tr>
        <w:trPr>
          <w:cantSplit/>
        </w:trPr>
        <w:tc>
          <w:tcPr>
            <w:tcW w:w="1820" w:type="dxa"/>
          </w:tcPr>
          <w:p>
            <w:pPr>
              <w:pStyle w:val="TableText"/>
            </w:pPr>
            <w:r>
              <w:t xml:space="preserve">DLI.VQ</w:t>
            </w:r>
          </w:p>
        </w:tc>
        <w:tc>
          <w:tcPr>
            <w:tcW w:w="1820" w:type="dxa"/>
          </w:tcPr>
          <w:p>
            <w:pPr>
              <w:pStyle w:val="TableText"/>
            </w:pPr>
            <w:r>
              <w:t xml:space="preserve">Volume quality</w:t>
            </w:r>
          </w:p>
        </w:tc>
        <w:tc>
          <w:tcPr>
            <w:tcW w:w="1820" w:type="dxa"/>
          </w:tcPr>
          <w:p>
            <w:pPr>
              <w:pStyle w:val="TableText"/>
            </w:pPr>
            <w:r>
              <w:t xml:space="preserve">15%</w:t>
            </w:r>
          </w:p>
        </w:tc>
        <w:tc>
          <w:tcPr>
            <w:tcW w:w="1820" w:type="dxa"/>
          </w:tcPr>
          <w:p>
            <w:pPr>
              <w:pStyle w:val="TableText"/>
            </w:pPr>
            <w:r>
              <w:t xml:space="preserve">Positive with wash filters</w:t>
            </w:r>
          </w:p>
        </w:tc>
        <w:tc>
          <w:tcPr>
            <w:tcW w:w="1820" w:type="dxa"/>
          </w:tcPr>
          <w:p>
            <w:pPr>
              <w:pStyle w:val="TableText"/>
            </w:pPr>
            <w:r>
              <w:t xml:space="preserve">30/90 days</w:t>
            </w:r>
          </w:p>
        </w:tc>
      </w:tr>
      <w:tr>
        <w:trPr>
          <w:cantSplit/>
        </w:trPr>
        <w:tc>
          <w:tcPr>
            <w:tcW w:w="1820" w:type="dxa"/>
          </w:tcPr>
          <w:p>
            <w:pPr>
              <w:pStyle w:val="TableText"/>
            </w:pPr>
            <w:r>
              <w:t xml:space="preserve">DLI.VD</w:t>
            </w:r>
          </w:p>
        </w:tc>
        <w:tc>
          <w:tcPr>
            <w:tcW w:w="1820" w:type="dxa"/>
          </w:tcPr>
          <w:p>
            <w:pPr>
              <w:pStyle w:val="TableText"/>
            </w:pPr>
            <w:r>
              <w:t xml:space="preserve">Venue and asset diversity</w:t>
            </w:r>
          </w:p>
        </w:tc>
        <w:tc>
          <w:tcPr>
            <w:tcW w:w="1820" w:type="dxa"/>
          </w:tcPr>
          <w:p>
            <w:pPr>
              <w:pStyle w:val="TableText"/>
            </w:pPr>
            <w:r>
              <w:t xml:space="preserve">15%</w:t>
            </w:r>
          </w:p>
        </w:tc>
        <w:tc>
          <w:tcPr>
            <w:tcW w:w="1820" w:type="dxa"/>
          </w:tcPr>
          <w:p>
            <w:pPr>
              <w:pStyle w:val="TableText"/>
            </w:pPr>
            <w:r>
              <w:t xml:space="preserve">Positive/inverse concentration</w:t>
            </w:r>
          </w:p>
        </w:tc>
        <w:tc>
          <w:tcPr>
            <w:tcW w:w="1820" w:type="dxa"/>
          </w:tcPr>
          <w:p>
            <w:pPr>
              <w:pStyle w:val="TableText"/>
            </w:pPr>
            <w:r>
              <w:t xml:space="preserve">90 days</w:t>
            </w:r>
          </w:p>
        </w:tc>
      </w:tr>
      <w:tr>
        <w:trPr>
          <w:cantSplit/>
        </w:trPr>
        <w:tc>
          <w:tcPr>
            <w:tcW w:w="1820" w:type="dxa"/>
          </w:tcPr>
          <w:p>
            <w:pPr>
              <w:pStyle w:val="TableText"/>
            </w:pPr>
            <w:r>
              <w:t xml:space="preserve">DLI.CR</w:t>
            </w:r>
          </w:p>
        </w:tc>
        <w:tc>
          <w:tcPr>
            <w:tcW w:w="1820" w:type="dxa"/>
          </w:tcPr>
          <w:p>
            <w:pPr>
              <w:pStyle w:val="TableText"/>
            </w:pPr>
            <w:r>
              <w:t xml:space="preserve">Concentration and stress resilience</w:t>
            </w:r>
          </w:p>
        </w:tc>
        <w:tc>
          <w:tcPr>
            <w:tcW w:w="1820" w:type="dxa"/>
          </w:tcPr>
          <w:p>
            <w:pPr>
              <w:pStyle w:val="TableText"/>
            </w:pPr>
            <w:r>
              <w:t xml:space="preserve">20%</w:t>
            </w:r>
          </w:p>
        </w:tc>
        <w:tc>
          <w:tcPr>
            <w:tcW w:w="1820" w:type="dxa"/>
          </w:tcPr>
          <w:p>
            <w:pPr>
              <w:pStyle w:val="TableText"/>
            </w:pPr>
            <w:r>
              <w:t xml:space="preserve">Inverse concentration/positive retention</w:t>
            </w:r>
          </w:p>
        </w:tc>
        <w:tc>
          <w:tcPr>
            <w:tcW w:w="1820" w:type="dxa"/>
          </w:tcPr>
          <w:p>
            <w:pPr>
              <w:pStyle w:val="TableText"/>
            </w:pPr>
            <w:r>
              <w:t xml:space="preserve">Event/365 days</w:t>
            </w:r>
          </w:p>
        </w:tc>
      </w:tr>
    </w:tbl>
    <w:p>
      <w:pPr>
        <w:pStyle w:val="Heading2"/>
      </w:pPr>
      <w:r>
        <w:t xml:space="preserve">B.4 PII registry</w:t>
      </w:r>
    </w:p>
    <w:tbl>
      <w:tblPr>
        <w:tblStyle w:val="TableGrid"/>
        <w:tblW w:w="9100" w:type="dxa"/>
        <w:tblLayout w:type="autofit"/>
      </w:tblPr>
      <w:tblGrid>
        <w:gridCol w:w="1820"/>
        <w:gridCol w:w="1820"/>
        <w:gridCol w:w="1820"/>
        <w:gridCol w:w="1820"/>
        <w:gridCol w:w="1820"/>
      </w:tblGrid>
      <w:tr>
        <w:trPr>
          <w:cantSplit/>
          <w:tblHeader/>
        </w:trPr>
        <w:tc>
          <w:tcPr>
            <w:tcW w:w="1820" w:type="dxa"/>
          </w:tcPr>
          <w:p>
            <w:pPr>
              <w:pStyle w:val="TableHeader"/>
            </w:pPr>
            <w:r>
              <w:t xml:space="preserve">ID</w:t>
            </w:r>
          </w:p>
        </w:tc>
        <w:tc>
          <w:tcPr>
            <w:tcW w:w="1820" w:type="dxa"/>
          </w:tcPr>
          <w:p>
            <w:pPr>
              <w:pStyle w:val="TableHeader"/>
            </w:pPr>
            <w:r>
              <w:t xml:space="preserve">Sub-index</w:t>
            </w:r>
          </w:p>
        </w:tc>
        <w:tc>
          <w:tcPr>
            <w:tcW w:w="1820" w:type="dxa"/>
          </w:tcPr>
          <w:p>
            <w:pPr>
              <w:pStyle w:val="TableHeader"/>
            </w:pPr>
            <w:r>
              <w:t xml:space="preserve">Weight</w:t>
            </w:r>
          </w:p>
        </w:tc>
        <w:tc>
          <w:tcPr>
            <w:tcW w:w="1820" w:type="dxa"/>
          </w:tcPr>
          <w:p>
            <w:pPr>
              <w:pStyle w:val="TableHeader"/>
            </w:pPr>
            <w:r>
              <w:t xml:space="preserve">Direction</w:t>
            </w:r>
          </w:p>
        </w:tc>
        <w:tc>
          <w:tcPr>
            <w:tcW w:w="1820" w:type="dxa"/>
          </w:tcPr>
          <w:p>
            <w:pPr>
              <w:pStyle w:val="TableHeader"/>
            </w:pPr>
            <w:r>
              <w:t xml:space="preserve">Default horizon</w:t>
            </w:r>
          </w:p>
        </w:tc>
      </w:tr>
      <w:tr>
        <w:trPr>
          <w:cantSplit/>
        </w:trPr>
        <w:tc>
          <w:tcPr>
            <w:tcW w:w="1820" w:type="dxa"/>
          </w:tcPr>
          <w:p>
            <w:pPr>
              <w:pStyle w:val="TableText"/>
            </w:pPr>
            <w:r>
              <w:t xml:space="preserve">PII.ST</w:t>
            </w:r>
          </w:p>
        </w:tc>
        <w:tc>
          <w:tcPr>
            <w:tcW w:w="1820" w:type="dxa"/>
          </w:tcPr>
          <w:p>
            <w:pPr>
              <w:pStyle w:val="TableText"/>
            </w:pPr>
            <w:r>
              <w:t xml:space="preserve">Security track record</w:t>
            </w:r>
          </w:p>
        </w:tc>
        <w:tc>
          <w:tcPr>
            <w:tcW w:w="1820" w:type="dxa"/>
          </w:tcPr>
          <w:p>
            <w:pPr>
              <w:pStyle w:val="TableText"/>
            </w:pPr>
            <w:r>
              <w:t xml:space="preserve">25%</w:t>
            </w:r>
          </w:p>
        </w:tc>
        <w:tc>
          <w:tcPr>
            <w:tcW w:w="1820" w:type="dxa"/>
          </w:tcPr>
          <w:p>
            <w:pPr>
              <w:pStyle w:val="TableText"/>
            </w:pPr>
            <w:r>
              <w:t xml:space="preserve">Inverse incident severity</w:t>
            </w:r>
          </w:p>
        </w:tc>
        <w:tc>
          <w:tcPr>
            <w:tcW w:w="1820" w:type="dxa"/>
          </w:tcPr>
          <w:p>
            <w:pPr>
              <w:pStyle w:val="TableText"/>
            </w:pPr>
            <w:r>
              <w:t xml:space="preserve">365 days/lifetime</w:t>
            </w:r>
          </w:p>
        </w:tc>
      </w:tr>
      <w:tr>
        <w:trPr>
          <w:cantSplit/>
        </w:trPr>
        <w:tc>
          <w:tcPr>
            <w:tcW w:w="1820" w:type="dxa"/>
          </w:tcPr>
          <w:p>
            <w:pPr>
              <w:pStyle w:val="TableText"/>
            </w:pPr>
            <w:r>
              <w:t xml:space="preserve">PII.CD</w:t>
            </w:r>
          </w:p>
        </w:tc>
        <w:tc>
          <w:tcPr>
            <w:tcW w:w="1820" w:type="dxa"/>
          </w:tcPr>
          <w:p>
            <w:pPr>
              <w:pStyle w:val="TableText"/>
            </w:pPr>
            <w:r>
              <w:t xml:space="preserve">Consensus and control decentralisation</w:t>
            </w:r>
          </w:p>
        </w:tc>
        <w:tc>
          <w:tcPr>
            <w:tcW w:w="1820" w:type="dxa"/>
          </w:tcPr>
          <w:p>
            <w:pPr>
              <w:pStyle w:val="TableText"/>
            </w:pPr>
            <w:r>
              <w:t xml:space="preserve">20%</w:t>
            </w:r>
          </w:p>
        </w:tc>
        <w:tc>
          <w:tcPr>
            <w:tcW w:w="1820" w:type="dxa"/>
          </w:tcPr>
          <w:p>
            <w:pPr>
              <w:pStyle w:val="TableText"/>
            </w:pPr>
            <w:r>
              <w:t xml:space="preserve">Inverse concentration</w:t>
            </w:r>
          </w:p>
        </w:tc>
        <w:tc>
          <w:tcPr>
            <w:tcW w:w="1820" w:type="dxa"/>
          </w:tcPr>
          <w:p>
            <w:pPr>
              <w:pStyle w:val="TableText"/>
            </w:pPr>
            <w:r>
              <w:t xml:space="preserve">30/90 days</w:t>
            </w:r>
          </w:p>
        </w:tc>
      </w:tr>
      <w:tr>
        <w:trPr>
          <w:cantSplit/>
        </w:trPr>
        <w:tc>
          <w:tcPr>
            <w:tcW w:w="1820" w:type="dxa"/>
          </w:tcPr>
          <w:p>
            <w:pPr>
              <w:pStyle w:val="TableText"/>
            </w:pPr>
            <w:r>
              <w:t xml:space="preserve">PII.ID</w:t>
            </w:r>
          </w:p>
        </w:tc>
        <w:tc>
          <w:tcPr>
            <w:tcW w:w="1820" w:type="dxa"/>
          </w:tcPr>
          <w:p>
            <w:pPr>
              <w:pStyle w:val="TableText"/>
            </w:pPr>
            <w:r>
              <w:t xml:space="preserve">Infrastructure diversity</w:t>
            </w:r>
          </w:p>
        </w:tc>
        <w:tc>
          <w:tcPr>
            <w:tcW w:w="1820" w:type="dxa"/>
          </w:tcPr>
          <w:p>
            <w:pPr>
              <w:pStyle w:val="TableText"/>
            </w:pPr>
            <w:r>
              <w:t xml:space="preserve">15%</w:t>
            </w:r>
          </w:p>
        </w:tc>
        <w:tc>
          <w:tcPr>
            <w:tcW w:w="1820" w:type="dxa"/>
          </w:tcPr>
          <w:p>
            <w:pPr>
              <w:pStyle w:val="TableText"/>
            </w:pPr>
            <w:r>
              <w:t xml:space="preserve">Positive/inverse concentration</w:t>
            </w:r>
          </w:p>
        </w:tc>
        <w:tc>
          <w:tcPr>
            <w:tcW w:w="1820" w:type="dxa"/>
          </w:tcPr>
          <w:p>
            <w:pPr>
              <w:pStyle w:val="TableText"/>
            </w:pPr>
            <w:r>
              <w:t xml:space="preserve">90 days</w:t>
            </w:r>
          </w:p>
        </w:tc>
      </w:tr>
      <w:tr>
        <w:trPr>
          <w:cantSplit/>
        </w:trPr>
        <w:tc>
          <w:tcPr>
            <w:tcW w:w="1820" w:type="dxa"/>
          </w:tcPr>
          <w:p>
            <w:pPr>
              <w:pStyle w:val="TableText"/>
            </w:pPr>
            <w:r>
              <w:t xml:space="preserve">PII.AF</w:t>
            </w:r>
          </w:p>
        </w:tc>
        <w:tc>
          <w:tcPr>
            <w:tcW w:w="1820" w:type="dxa"/>
          </w:tcPr>
          <w:p>
            <w:pPr>
              <w:pStyle w:val="TableText"/>
            </w:pPr>
            <w:r>
              <w:t xml:space="preserve">Availability and finality</w:t>
            </w:r>
          </w:p>
        </w:tc>
        <w:tc>
          <w:tcPr>
            <w:tcW w:w="1820" w:type="dxa"/>
          </w:tcPr>
          <w:p>
            <w:pPr>
              <w:pStyle w:val="TableText"/>
            </w:pPr>
            <w:r>
              <w:t xml:space="preserve">20%</w:t>
            </w:r>
          </w:p>
        </w:tc>
        <w:tc>
          <w:tcPr>
            <w:tcW w:w="1820" w:type="dxa"/>
          </w:tcPr>
          <w:p>
            <w:pPr>
              <w:pStyle w:val="TableText"/>
            </w:pPr>
            <w:r>
              <w:t xml:space="preserve">Positive/inverse disruption</w:t>
            </w:r>
          </w:p>
        </w:tc>
        <w:tc>
          <w:tcPr>
            <w:tcW w:w="1820" w:type="dxa"/>
          </w:tcPr>
          <w:p>
            <w:pPr>
              <w:pStyle w:val="TableText"/>
            </w:pPr>
            <w:r>
              <w:t xml:space="preserve">30/365 days</w:t>
            </w:r>
          </w:p>
        </w:tc>
      </w:tr>
      <w:tr>
        <w:trPr>
          <w:cantSplit/>
        </w:trPr>
        <w:tc>
          <w:tcPr>
            <w:tcW w:w="1820" w:type="dxa"/>
          </w:tcPr>
          <w:p>
            <w:pPr>
              <w:pStyle w:val="TableText"/>
            </w:pPr>
            <w:r>
              <w:t xml:space="preserve">PII.GI</w:t>
            </w:r>
          </w:p>
        </w:tc>
        <w:tc>
          <w:tcPr>
            <w:tcW w:w="1820" w:type="dxa"/>
          </w:tcPr>
          <w:p>
            <w:pPr>
              <w:pStyle w:val="TableText"/>
            </w:pPr>
            <w:r>
              <w:t xml:space="preserve">Governance and upgrade integrity</w:t>
            </w:r>
          </w:p>
        </w:tc>
        <w:tc>
          <w:tcPr>
            <w:tcW w:w="1820" w:type="dxa"/>
          </w:tcPr>
          <w:p>
            <w:pPr>
              <w:pStyle w:val="TableText"/>
            </w:pPr>
            <w:r>
              <w:t xml:space="preserve">20%</w:t>
            </w:r>
          </w:p>
        </w:tc>
        <w:tc>
          <w:tcPr>
            <w:tcW w:w="1820" w:type="dxa"/>
          </w:tcPr>
          <w:p>
            <w:pPr>
              <w:pStyle w:val="TableText"/>
            </w:pPr>
            <w:r>
              <w:t xml:space="preserve">Positive</w:t>
            </w:r>
          </w:p>
        </w:tc>
        <w:tc>
          <w:tcPr>
            <w:tcW w:w="1820" w:type="dxa"/>
          </w:tcPr>
          <w:p>
            <w:pPr>
              <w:pStyle w:val="TableText"/>
            </w:pPr>
            <w:r>
              <w:t xml:space="preserve">Current/365 days</w:t>
            </w:r>
          </w:p>
        </w:tc>
      </w:tr>
    </w:tbl>
    <w:p>
      <w:pPr>
        <w:pStyle w:val="Heading2"/>
      </w:pPr>
      <w:r>
        <w:t xml:space="preserve">B.5 RWAI registry</w:t>
      </w:r>
    </w:p>
    <w:tbl>
      <w:tblPr>
        <w:tblStyle w:val="TableGrid"/>
        <w:tblW w:w="9100" w:type="dxa"/>
        <w:tblLayout w:type="autofit"/>
      </w:tblPr>
      <w:tblGrid>
        <w:gridCol w:w="1820"/>
        <w:gridCol w:w="1820"/>
        <w:gridCol w:w="1820"/>
        <w:gridCol w:w="1820"/>
        <w:gridCol w:w="1820"/>
      </w:tblGrid>
      <w:tr>
        <w:trPr>
          <w:cantSplit/>
          <w:tblHeader/>
        </w:trPr>
        <w:tc>
          <w:tcPr>
            <w:tcW w:w="1820" w:type="dxa"/>
          </w:tcPr>
          <w:p>
            <w:pPr>
              <w:pStyle w:val="TableHeader"/>
            </w:pPr>
            <w:r>
              <w:t xml:space="preserve">ID</w:t>
            </w:r>
          </w:p>
        </w:tc>
        <w:tc>
          <w:tcPr>
            <w:tcW w:w="1820" w:type="dxa"/>
          </w:tcPr>
          <w:p>
            <w:pPr>
              <w:pStyle w:val="TableHeader"/>
            </w:pPr>
            <w:r>
              <w:t xml:space="preserve">Sub-index</w:t>
            </w:r>
          </w:p>
        </w:tc>
        <w:tc>
          <w:tcPr>
            <w:tcW w:w="1820" w:type="dxa"/>
          </w:tcPr>
          <w:p>
            <w:pPr>
              <w:pStyle w:val="TableHeader"/>
            </w:pPr>
            <w:r>
              <w:t xml:space="preserve">Weight</w:t>
            </w:r>
          </w:p>
        </w:tc>
        <w:tc>
          <w:tcPr>
            <w:tcW w:w="1820" w:type="dxa"/>
          </w:tcPr>
          <w:p>
            <w:pPr>
              <w:pStyle w:val="TableHeader"/>
            </w:pPr>
            <w:r>
              <w:t xml:space="preserve">Direction</w:t>
            </w:r>
          </w:p>
        </w:tc>
        <w:tc>
          <w:tcPr>
            <w:tcW w:w="1820" w:type="dxa"/>
          </w:tcPr>
          <w:p>
            <w:pPr>
              <w:pStyle w:val="TableHeader"/>
            </w:pPr>
            <w:r>
              <w:t xml:space="preserve">Default horizon</w:t>
            </w:r>
          </w:p>
        </w:tc>
      </w:tr>
      <w:tr>
        <w:trPr>
          <w:cantSplit/>
        </w:trPr>
        <w:tc>
          <w:tcPr>
            <w:tcW w:w="1820" w:type="dxa"/>
          </w:tcPr>
          <w:p>
            <w:pPr>
              <w:pStyle w:val="TableText"/>
            </w:pPr>
            <w:r>
              <w:t xml:space="preserve">RWAI.RS</w:t>
            </w:r>
          </w:p>
        </w:tc>
        <w:tc>
          <w:tcPr>
            <w:tcW w:w="1820" w:type="dxa"/>
          </w:tcPr>
          <w:p>
            <w:pPr>
              <w:pStyle w:val="TableText"/>
            </w:pPr>
            <w:r>
              <w:t xml:space="preserve">Real-world settlement value</w:t>
            </w:r>
          </w:p>
        </w:tc>
        <w:tc>
          <w:tcPr>
            <w:tcW w:w="1820" w:type="dxa"/>
          </w:tcPr>
          <w:p>
            <w:pPr>
              <w:pStyle w:val="TableText"/>
            </w:pPr>
            <w:r>
              <w:t xml:space="preserve">25%</w:t>
            </w:r>
          </w:p>
        </w:tc>
        <w:tc>
          <w:tcPr>
            <w:tcW w:w="1820" w:type="dxa"/>
          </w:tcPr>
          <w:p>
            <w:pPr>
              <w:pStyle w:val="TableText"/>
            </w:pPr>
            <w:r>
              <w:t xml:space="preserve">Positive with verification</w:t>
            </w:r>
          </w:p>
        </w:tc>
        <w:tc>
          <w:tcPr>
            <w:tcW w:w="1820" w:type="dxa"/>
          </w:tcPr>
          <w:p>
            <w:pPr>
              <w:pStyle w:val="TableText"/>
            </w:pPr>
            <w:r>
              <w:t xml:space="preserve">90/365 days</w:t>
            </w:r>
          </w:p>
        </w:tc>
      </w:tr>
      <w:tr>
        <w:trPr>
          <w:cantSplit/>
        </w:trPr>
        <w:tc>
          <w:tcPr>
            <w:tcW w:w="1820" w:type="dxa"/>
          </w:tcPr>
          <w:p>
            <w:pPr>
              <w:pStyle w:val="TableText"/>
            </w:pPr>
            <w:r>
              <w:t xml:space="preserve">RWAI.SP</w:t>
            </w:r>
          </w:p>
        </w:tc>
        <w:tc>
          <w:tcPr>
            <w:tcW w:w="1820" w:type="dxa"/>
          </w:tcPr>
          <w:p>
            <w:pPr>
              <w:pStyle w:val="TableText"/>
            </w:pPr>
            <w:r>
              <w:t xml:space="preserve">Stablecoin and payment use</w:t>
            </w:r>
          </w:p>
        </w:tc>
        <w:tc>
          <w:tcPr>
            <w:tcW w:w="1820" w:type="dxa"/>
          </w:tcPr>
          <w:p>
            <w:pPr>
              <w:pStyle w:val="TableText"/>
            </w:pPr>
            <w:r>
              <w:t xml:space="preserve">20%</w:t>
            </w:r>
          </w:p>
        </w:tc>
        <w:tc>
          <w:tcPr>
            <w:tcW w:w="1820" w:type="dxa"/>
          </w:tcPr>
          <w:p>
            <w:pPr>
              <w:pStyle w:val="TableText"/>
            </w:pPr>
            <w:r>
              <w:t xml:space="preserve">Positive with quality filters</w:t>
            </w:r>
          </w:p>
        </w:tc>
        <w:tc>
          <w:tcPr>
            <w:tcW w:w="1820" w:type="dxa"/>
          </w:tcPr>
          <w:p>
            <w:pPr>
              <w:pStyle w:val="TableText"/>
            </w:pPr>
            <w:r>
              <w:t xml:space="preserve">90/365 days</w:t>
            </w:r>
          </w:p>
        </w:tc>
      </w:tr>
      <w:tr>
        <w:trPr>
          <w:cantSplit/>
        </w:trPr>
        <w:tc>
          <w:tcPr>
            <w:tcW w:w="1820" w:type="dxa"/>
          </w:tcPr>
          <w:p>
            <w:pPr>
              <w:pStyle w:val="TableText"/>
            </w:pPr>
            <w:r>
              <w:t xml:space="preserve">RWAI.TA</w:t>
            </w:r>
          </w:p>
        </w:tc>
        <w:tc>
          <w:tcPr>
            <w:tcW w:w="1820" w:type="dxa"/>
          </w:tcPr>
          <w:p>
            <w:pPr>
              <w:pStyle w:val="TableText"/>
            </w:pPr>
            <w:r>
              <w:t xml:space="preserve">Tokenised asset value and quality</w:t>
            </w:r>
          </w:p>
        </w:tc>
        <w:tc>
          <w:tcPr>
            <w:tcW w:w="1820" w:type="dxa"/>
          </w:tcPr>
          <w:p>
            <w:pPr>
              <w:pStyle w:val="TableText"/>
            </w:pPr>
            <w:r>
              <w:t xml:space="preserve">20%</w:t>
            </w:r>
          </w:p>
        </w:tc>
        <w:tc>
          <w:tcPr>
            <w:tcW w:w="1820" w:type="dxa"/>
          </w:tcPr>
          <w:p>
            <w:pPr>
              <w:pStyle w:val="TableText"/>
            </w:pPr>
            <w:r>
              <w:t xml:space="preserve">Positive with quality</w:t>
            </w:r>
          </w:p>
        </w:tc>
        <w:tc>
          <w:tcPr>
            <w:tcW w:w="1820" w:type="dxa"/>
          </w:tcPr>
          <w:p>
            <w:pPr>
              <w:pStyle w:val="TableText"/>
            </w:pPr>
            <w:r>
              <w:t xml:space="preserve">90/365 days</w:t>
            </w:r>
          </w:p>
        </w:tc>
      </w:tr>
      <w:tr>
        <w:trPr>
          <w:cantSplit/>
        </w:trPr>
        <w:tc>
          <w:tcPr>
            <w:tcW w:w="1820" w:type="dxa"/>
          </w:tcPr>
          <w:p>
            <w:pPr>
              <w:pStyle w:val="TableText"/>
            </w:pPr>
            <w:r>
              <w:t xml:space="preserve">RWAI.AD</w:t>
            </w:r>
          </w:p>
        </w:tc>
        <w:tc>
          <w:tcPr>
            <w:tcW w:w="1820" w:type="dxa"/>
          </w:tcPr>
          <w:p>
            <w:pPr>
              <w:pStyle w:val="TableText"/>
            </w:pPr>
            <w:r>
              <w:t xml:space="preserve">Adoption diversity and persistence</w:t>
            </w:r>
          </w:p>
        </w:tc>
        <w:tc>
          <w:tcPr>
            <w:tcW w:w="1820" w:type="dxa"/>
          </w:tcPr>
          <w:p>
            <w:pPr>
              <w:pStyle w:val="TableText"/>
            </w:pPr>
            <w:r>
              <w:t xml:space="preserve">20%</w:t>
            </w:r>
          </w:p>
        </w:tc>
        <w:tc>
          <w:tcPr>
            <w:tcW w:w="1820" w:type="dxa"/>
          </w:tcPr>
          <w:p>
            <w:pPr>
              <w:pStyle w:val="TableText"/>
            </w:pPr>
            <w:r>
              <w:t xml:space="preserve">Positive/inverse concentration</w:t>
            </w:r>
          </w:p>
        </w:tc>
        <w:tc>
          <w:tcPr>
            <w:tcW w:w="1820" w:type="dxa"/>
          </w:tcPr>
          <w:p>
            <w:pPr>
              <w:pStyle w:val="TableText"/>
            </w:pPr>
            <w:r>
              <w:t xml:space="preserve">180/365 days</w:t>
            </w:r>
          </w:p>
        </w:tc>
      </w:tr>
      <w:tr>
        <w:trPr>
          <w:cantSplit/>
        </w:trPr>
        <w:tc>
          <w:tcPr>
            <w:tcW w:w="1820" w:type="dxa"/>
          </w:tcPr>
          <w:p>
            <w:pPr>
              <w:pStyle w:val="TableText"/>
            </w:pPr>
            <w:r>
              <w:t xml:space="preserve">RWAI.EI</w:t>
            </w:r>
          </w:p>
        </w:tc>
        <w:tc>
          <w:tcPr>
            <w:tcW w:w="1820" w:type="dxa"/>
          </w:tcPr>
          <w:p>
            <w:pPr>
              <w:pStyle w:val="TableText"/>
            </w:pPr>
            <w:r>
              <w:t xml:space="preserve">External-verification integrity</w:t>
            </w:r>
          </w:p>
        </w:tc>
        <w:tc>
          <w:tcPr>
            <w:tcW w:w="1820" w:type="dxa"/>
          </w:tcPr>
          <w:p>
            <w:pPr>
              <w:pStyle w:val="TableText"/>
            </w:pPr>
            <w:r>
              <w:t xml:space="preserve">15%</w:t>
            </w:r>
          </w:p>
        </w:tc>
        <w:tc>
          <w:tcPr>
            <w:tcW w:w="1820" w:type="dxa"/>
          </w:tcPr>
          <w:p>
            <w:pPr>
              <w:pStyle w:val="TableText"/>
            </w:pPr>
            <w:r>
              <w:t xml:space="preserve">Positive</w:t>
            </w:r>
          </w:p>
        </w:tc>
        <w:tc>
          <w:tcPr>
            <w:tcW w:w="1820" w:type="dxa"/>
          </w:tcPr>
          <w:p>
            <w:pPr>
              <w:pStyle w:val="TableText"/>
            </w:pPr>
            <w:r>
              <w:t xml:space="preserve">Current/365 days</w:t>
            </w:r>
          </w:p>
        </w:tc>
      </w:tr>
    </w:tbl>
    <w:p>
      <w:pPr>
        <w:pStyle w:val="Heading2"/>
      </w:pPr>
      <w:r>
        <w:t xml:space="preserve">B.6 ERI registry</w:t>
      </w:r>
    </w:p>
    <w:tbl>
      <w:tblPr>
        <w:tblStyle w:val="TableGrid"/>
        <w:tblW w:w="9100" w:type="dxa"/>
        <w:tblLayout w:type="autofit"/>
      </w:tblPr>
      <w:tblGrid>
        <w:gridCol w:w="1820"/>
        <w:gridCol w:w="1820"/>
        <w:gridCol w:w="1820"/>
        <w:gridCol w:w="1820"/>
        <w:gridCol w:w="1820"/>
      </w:tblGrid>
      <w:tr>
        <w:trPr>
          <w:cantSplit/>
          <w:tblHeader/>
        </w:trPr>
        <w:tc>
          <w:tcPr>
            <w:tcW w:w="1820" w:type="dxa"/>
          </w:tcPr>
          <w:p>
            <w:pPr>
              <w:pStyle w:val="TableHeader"/>
            </w:pPr>
            <w:r>
              <w:t xml:space="preserve">ID</w:t>
            </w:r>
          </w:p>
        </w:tc>
        <w:tc>
          <w:tcPr>
            <w:tcW w:w="1820" w:type="dxa"/>
          </w:tcPr>
          <w:p>
            <w:pPr>
              <w:pStyle w:val="TableHeader"/>
            </w:pPr>
            <w:r>
              <w:t xml:space="preserve">Sub-index</w:t>
            </w:r>
          </w:p>
        </w:tc>
        <w:tc>
          <w:tcPr>
            <w:tcW w:w="1820" w:type="dxa"/>
          </w:tcPr>
          <w:p>
            <w:pPr>
              <w:pStyle w:val="TableHeader"/>
            </w:pPr>
            <w:r>
              <w:t xml:space="preserve">Weight</w:t>
            </w:r>
          </w:p>
        </w:tc>
        <w:tc>
          <w:tcPr>
            <w:tcW w:w="1820" w:type="dxa"/>
          </w:tcPr>
          <w:p>
            <w:pPr>
              <w:pStyle w:val="TableHeader"/>
            </w:pPr>
            <w:r>
              <w:t xml:space="preserve">Direction</w:t>
            </w:r>
          </w:p>
        </w:tc>
        <w:tc>
          <w:tcPr>
            <w:tcW w:w="1820" w:type="dxa"/>
          </w:tcPr>
          <w:p>
            <w:pPr>
              <w:pStyle w:val="TableHeader"/>
            </w:pPr>
            <w:r>
              <w:t xml:space="preserve">Default horizon</w:t>
            </w:r>
          </w:p>
        </w:tc>
      </w:tr>
      <w:tr>
        <w:trPr>
          <w:cantSplit/>
        </w:trPr>
        <w:tc>
          <w:tcPr>
            <w:tcW w:w="1820" w:type="dxa"/>
          </w:tcPr>
          <w:p>
            <w:pPr>
              <w:pStyle w:val="TableText"/>
            </w:pPr>
            <w:r>
              <w:t xml:space="preserve">ERI.AR</w:t>
            </w:r>
          </w:p>
        </w:tc>
        <w:tc>
          <w:tcPr>
            <w:tcW w:w="1820" w:type="dxa"/>
          </w:tcPr>
          <w:p>
            <w:pPr>
              <w:pStyle w:val="TableText"/>
            </w:pPr>
            <w:r>
              <w:t xml:space="preserve">Activity retention</w:t>
            </w:r>
          </w:p>
        </w:tc>
        <w:tc>
          <w:tcPr>
            <w:tcW w:w="1820" w:type="dxa"/>
          </w:tcPr>
          <w:p>
            <w:pPr>
              <w:pStyle w:val="TableText"/>
            </w:pPr>
            <w:r>
              <w:t xml:space="preserve">20%</w:t>
            </w:r>
          </w:p>
        </w:tc>
        <w:tc>
          <w:tcPr>
            <w:tcW w:w="1820" w:type="dxa"/>
          </w:tcPr>
          <w:p>
            <w:pPr>
              <w:pStyle w:val="TableText"/>
            </w:pPr>
            <w:r>
              <w:t xml:space="preserve">Positive retention</w:t>
            </w:r>
          </w:p>
        </w:tc>
        <w:tc>
          <w:tcPr>
            <w:tcW w:w="1820" w:type="dxa"/>
          </w:tcPr>
          <w:p>
            <w:pPr>
              <w:pStyle w:val="TableText"/>
            </w:pPr>
            <w:r>
              <w:t xml:space="preserve">Stress event</w:t>
            </w:r>
          </w:p>
        </w:tc>
      </w:tr>
      <w:tr>
        <w:trPr>
          <w:cantSplit/>
        </w:trPr>
        <w:tc>
          <w:tcPr>
            <w:tcW w:w="1820" w:type="dxa"/>
          </w:tcPr>
          <w:p>
            <w:pPr>
              <w:pStyle w:val="TableText"/>
            </w:pPr>
            <w:r>
              <w:t xml:space="preserve">ERI.LR</w:t>
            </w:r>
          </w:p>
        </w:tc>
        <w:tc>
          <w:tcPr>
            <w:tcW w:w="1820" w:type="dxa"/>
          </w:tcPr>
          <w:p>
            <w:pPr>
              <w:pStyle w:val="TableText"/>
            </w:pPr>
            <w:r>
              <w:t xml:space="preserve">Liquidity retention</w:t>
            </w:r>
          </w:p>
        </w:tc>
        <w:tc>
          <w:tcPr>
            <w:tcW w:w="1820" w:type="dxa"/>
          </w:tcPr>
          <w:p>
            <w:pPr>
              <w:pStyle w:val="TableText"/>
            </w:pPr>
            <w:r>
              <w:t xml:space="preserve">20%</w:t>
            </w:r>
          </w:p>
        </w:tc>
        <w:tc>
          <w:tcPr>
            <w:tcW w:w="1820" w:type="dxa"/>
          </w:tcPr>
          <w:p>
            <w:pPr>
              <w:pStyle w:val="TableText"/>
            </w:pPr>
            <w:r>
              <w:t xml:space="preserve">Positive retention</w:t>
            </w:r>
          </w:p>
        </w:tc>
        <w:tc>
          <w:tcPr>
            <w:tcW w:w="1820" w:type="dxa"/>
          </w:tcPr>
          <w:p>
            <w:pPr>
              <w:pStyle w:val="TableText"/>
            </w:pPr>
            <w:r>
              <w:t xml:space="preserve">Stress event</w:t>
            </w:r>
          </w:p>
        </w:tc>
      </w:tr>
      <w:tr>
        <w:trPr>
          <w:cantSplit/>
        </w:trPr>
        <w:tc>
          <w:tcPr>
            <w:tcW w:w="1820" w:type="dxa"/>
          </w:tcPr>
          <w:p>
            <w:pPr>
              <w:pStyle w:val="TableText"/>
            </w:pPr>
            <w:r>
              <w:t xml:space="preserve">ERI.SS</w:t>
            </w:r>
          </w:p>
        </w:tc>
        <w:tc>
          <w:tcPr>
            <w:tcW w:w="1820" w:type="dxa"/>
          </w:tcPr>
          <w:p>
            <w:pPr>
              <w:pStyle w:val="TableText"/>
            </w:pPr>
            <w:r>
              <w:t xml:space="preserve">Security-budget sustainability</w:t>
            </w:r>
          </w:p>
        </w:tc>
        <w:tc>
          <w:tcPr>
            <w:tcW w:w="1820" w:type="dxa"/>
          </w:tcPr>
          <w:p>
            <w:pPr>
              <w:pStyle w:val="TableText"/>
            </w:pPr>
            <w:r>
              <w:t xml:space="preserve">20%</w:t>
            </w:r>
          </w:p>
        </w:tc>
        <w:tc>
          <w:tcPr>
            <w:tcW w:w="1820" w:type="dxa"/>
          </w:tcPr>
          <w:p>
            <w:pPr>
              <w:pStyle w:val="TableText"/>
            </w:pPr>
            <w:r>
              <w:t xml:space="preserve">Positive</w:t>
            </w:r>
          </w:p>
        </w:tc>
        <w:tc>
          <w:tcPr>
            <w:tcW w:w="1820" w:type="dxa"/>
          </w:tcPr>
          <w:p>
            <w:pPr>
              <w:pStyle w:val="TableText"/>
            </w:pPr>
            <w:r>
              <w:t xml:space="preserve">365 days/stress</w:t>
            </w:r>
          </w:p>
        </w:tc>
      </w:tr>
      <w:tr>
        <w:trPr>
          <w:cantSplit/>
        </w:trPr>
        <w:tc>
          <w:tcPr>
            <w:tcW w:w="1820" w:type="dxa"/>
          </w:tcPr>
          <w:p>
            <w:pPr>
              <w:pStyle w:val="TableText"/>
            </w:pPr>
            <w:r>
              <w:t xml:space="preserve">ERI.TR</w:t>
            </w:r>
          </w:p>
        </w:tc>
        <w:tc>
          <w:tcPr>
            <w:tcW w:w="1820" w:type="dxa"/>
          </w:tcPr>
          <w:p>
            <w:pPr>
              <w:pStyle w:val="TableText"/>
            </w:pPr>
            <w:r>
              <w:t xml:space="preserve">Treasury and resource resilience</w:t>
            </w:r>
          </w:p>
        </w:tc>
        <w:tc>
          <w:tcPr>
            <w:tcW w:w="1820" w:type="dxa"/>
          </w:tcPr>
          <w:p>
            <w:pPr>
              <w:pStyle w:val="TableText"/>
            </w:pPr>
            <w:r>
              <w:t xml:space="preserve">15%</w:t>
            </w:r>
          </w:p>
        </w:tc>
        <w:tc>
          <w:tcPr>
            <w:tcW w:w="1820" w:type="dxa"/>
          </w:tcPr>
          <w:p>
            <w:pPr>
              <w:pStyle w:val="TableText"/>
            </w:pPr>
            <w:r>
              <w:t xml:space="preserve">Positive</w:t>
            </w:r>
          </w:p>
        </w:tc>
        <w:tc>
          <w:tcPr>
            <w:tcW w:w="1820" w:type="dxa"/>
          </w:tcPr>
          <w:p>
            <w:pPr>
              <w:pStyle w:val="TableText"/>
            </w:pPr>
            <w:r>
              <w:t xml:space="preserve">365 days</w:t>
            </w:r>
          </w:p>
        </w:tc>
      </w:tr>
      <w:tr>
        <w:trPr>
          <w:cantSplit/>
        </w:trPr>
        <w:tc>
          <w:tcPr>
            <w:tcW w:w="1820" w:type="dxa"/>
          </w:tcPr>
          <w:p>
            <w:pPr>
              <w:pStyle w:val="TableText"/>
            </w:pPr>
            <w:r>
              <w:t xml:space="preserve">ERI.SR</w:t>
            </w:r>
          </w:p>
        </w:tc>
        <w:tc>
          <w:tcPr>
            <w:tcW w:w="1820" w:type="dxa"/>
          </w:tcPr>
          <w:p>
            <w:pPr>
              <w:pStyle w:val="TableText"/>
            </w:pPr>
            <w:r>
              <w:t xml:space="preserve">Shock recovery performance</w:t>
            </w:r>
          </w:p>
        </w:tc>
        <w:tc>
          <w:tcPr>
            <w:tcW w:w="1820" w:type="dxa"/>
          </w:tcPr>
          <w:p>
            <w:pPr>
              <w:pStyle w:val="TableText"/>
            </w:pPr>
            <w:r>
              <w:t xml:space="preserve">25%</w:t>
            </w:r>
          </w:p>
        </w:tc>
        <w:tc>
          <w:tcPr>
            <w:tcW w:w="1820" w:type="dxa"/>
          </w:tcPr>
          <w:p>
            <w:pPr>
              <w:pStyle w:val="TableText"/>
            </w:pPr>
            <w:r>
              <w:t xml:space="preserve">Positive</w:t>
            </w:r>
          </w:p>
        </w:tc>
        <w:tc>
          <w:tcPr>
            <w:tcW w:w="1820" w:type="dxa"/>
          </w:tcPr>
          <w:p>
            <w:pPr>
              <w:pStyle w:val="TableText"/>
            </w:pPr>
            <w:r>
              <w:t xml:space="preserve">Stress event</w:t>
            </w:r>
          </w:p>
        </w:tc>
      </w:tr>
    </w:tbl>
    <w:p>
      <w:pPr>
        <w:pStyle w:val="Heading1"/>
        <w:pageBreakBefore/>
      </w:pPr>
      <w:r>
        <w:t xml:space="preserve">Appendix C — Worked VTS Example</w:t>
      </w:r>
    </w:p>
    <w:p>
      <w:pPr>
        <w:pStyle w:val="Normal"/>
      </w:pPr>
      <w:r>
        <w:t xml:space="preserve">Consider a fictional network with the following official parent indices:</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Index</w:t>
            </w:r>
          </w:p>
        </w:tc>
        <w:tc>
          <w:tcPr>
            <w:tcW w:w="4550" w:type="dxa"/>
          </w:tcPr>
          <w:p>
            <w:pPr>
              <w:pStyle w:val="TableHeader"/>
            </w:pPr>
            <w:r>
              <w:t xml:space="preserve">Score</w:t>
            </w:r>
          </w:p>
        </w:tc>
      </w:tr>
      <w:tr>
        <w:trPr>
          <w:cantSplit/>
        </w:trPr>
        <w:tc>
          <w:tcPr>
            <w:tcW w:w="4550" w:type="dxa"/>
          </w:tcPr>
          <w:p>
            <w:pPr>
              <w:pStyle w:val="TableText"/>
            </w:pPr>
            <w:r>
              <w:t xml:space="preserve">PoV</w:t>
            </w:r>
          </w:p>
        </w:tc>
        <w:tc>
          <w:tcPr>
            <w:tcW w:w="4550" w:type="dxa"/>
          </w:tcPr>
          <w:p>
            <w:pPr>
              <w:pStyle w:val="TableText"/>
            </w:pPr>
            <w:r>
              <w:t xml:space="preserve">72.0</w:t>
            </w:r>
          </w:p>
        </w:tc>
      </w:tr>
      <w:tr>
        <w:trPr>
          <w:cantSplit/>
        </w:trPr>
        <w:tc>
          <w:tcPr>
            <w:tcW w:w="4550" w:type="dxa"/>
          </w:tcPr>
          <w:p>
            <w:pPr>
              <w:pStyle w:val="TableText"/>
            </w:pPr>
            <w:r>
              <w:t xml:space="preserve">OPI</w:t>
            </w:r>
          </w:p>
        </w:tc>
        <w:tc>
          <w:tcPr>
            <w:tcW w:w="4550" w:type="dxa"/>
          </w:tcPr>
          <w:p>
            <w:pPr>
              <w:pStyle w:val="TableText"/>
            </w:pPr>
            <w:r>
              <w:t xml:space="preserve">64.0</w:t>
            </w:r>
          </w:p>
        </w:tc>
      </w:tr>
      <w:tr>
        <w:trPr>
          <w:cantSplit/>
        </w:trPr>
        <w:tc>
          <w:tcPr>
            <w:tcW w:w="4550" w:type="dxa"/>
          </w:tcPr>
          <w:p>
            <w:pPr>
              <w:pStyle w:val="TableText"/>
            </w:pPr>
            <w:r>
              <w:t xml:space="preserve">DLI</w:t>
            </w:r>
          </w:p>
        </w:tc>
        <w:tc>
          <w:tcPr>
            <w:tcW w:w="4550" w:type="dxa"/>
          </w:tcPr>
          <w:p>
            <w:pPr>
              <w:pStyle w:val="TableText"/>
            </w:pPr>
            <w:r>
              <w:t xml:space="preserve">70.0</w:t>
            </w:r>
          </w:p>
        </w:tc>
      </w:tr>
      <w:tr>
        <w:trPr>
          <w:cantSplit/>
        </w:trPr>
        <w:tc>
          <w:tcPr>
            <w:tcW w:w="4550" w:type="dxa"/>
          </w:tcPr>
          <w:p>
            <w:pPr>
              <w:pStyle w:val="TableText"/>
            </w:pPr>
            <w:r>
              <w:t xml:space="preserve">PII</w:t>
            </w:r>
          </w:p>
        </w:tc>
        <w:tc>
          <w:tcPr>
            <w:tcW w:w="4550" w:type="dxa"/>
          </w:tcPr>
          <w:p>
            <w:pPr>
              <w:pStyle w:val="TableText"/>
            </w:pPr>
            <w:r>
              <w:t xml:space="preserve">75.0</w:t>
            </w:r>
          </w:p>
        </w:tc>
      </w:tr>
      <w:tr>
        <w:trPr>
          <w:cantSplit/>
        </w:trPr>
        <w:tc>
          <w:tcPr>
            <w:tcW w:w="4550" w:type="dxa"/>
          </w:tcPr>
          <w:p>
            <w:pPr>
              <w:pStyle w:val="TableText"/>
            </w:pPr>
            <w:r>
              <w:t xml:space="preserve">RWAI</w:t>
            </w:r>
          </w:p>
        </w:tc>
        <w:tc>
          <w:tcPr>
            <w:tcW w:w="4550" w:type="dxa"/>
          </w:tcPr>
          <w:p>
            <w:pPr>
              <w:pStyle w:val="TableText"/>
            </w:pPr>
            <w:r>
              <w:t xml:space="preserve">55.0</w:t>
            </w:r>
          </w:p>
        </w:tc>
      </w:tr>
      <w:tr>
        <w:trPr>
          <w:cantSplit/>
        </w:trPr>
        <w:tc>
          <w:tcPr>
            <w:tcW w:w="4550" w:type="dxa"/>
          </w:tcPr>
          <w:p>
            <w:pPr>
              <w:pStyle w:val="TableText"/>
            </w:pPr>
            <w:r>
              <w:t xml:space="preserve">ERI</w:t>
            </w:r>
          </w:p>
        </w:tc>
        <w:tc>
          <w:tcPr>
            <w:tcW w:w="4550" w:type="dxa"/>
          </w:tcPr>
          <w:p>
            <w:pPr>
              <w:pStyle w:val="TableText"/>
            </w:pPr>
            <w:r>
              <w:t xml:space="preserve">74.5</w:t>
            </w:r>
          </w:p>
        </w:tc>
      </w:tr>
    </w:tbl>
    <w:p>
      <w:pPr>
        <w:pStyle w:val="Normal"/>
      </w:pPr>
      <w:r>
        <w:t xml:space="preserve">The sum is:</w:t>
      </w:r>
    </w:p>
    <w:p>
      <w:pPr>
        <w:jc w:val="center"/>
      </w:pPr>
      <w:r>
        <w:drawing>
          <wp:inline distT="0" distB="0" distL="0" distR="0">
            <wp:extent cx="5638800" cy="418058"/>
            <wp:docPr id="64" name="Figure 64" descr="Specification figure or equation in Appendix C — Worked VTS Example; original available in the DOCX"/>
            <a:graphic>
              <a:graphicData uri="http://schemas.openxmlformats.org/drawingml/2006/picture">
                <pic:pic>
                  <pic:nvPicPr>
                    <pic:cNvPr id="0" name="image64.png"/>
                    <pic:cNvPicPr/>
                  </pic:nvPicPr>
                  <pic:blipFill>
                    <a:blip r:embed="rId66"/>
                    <a:stretch>
                      <a:fillRect/>
                    </a:stretch>
                  </pic:blipFill>
                  <pic:spPr>
                    <a:xfrm>
                      <a:off x="0" y="0"/>
                      <a:ext cx="5638800" cy="418058"/>
                    </a:xfrm>
                    <a:prstGeom prst="rect">
                      <a:avLst/>
                    </a:prstGeom>
                  </pic:spPr>
                </pic:pic>
              </a:graphicData>
            </a:graphic>
          </wp:inline>
        </w:drawing>
      </w:r>
    </w:p>
    <w:p>
      <w:pPr>
        <w:pStyle w:val="Normal"/>
      </w:pPr>
      <w:r>
        <w:t xml:space="preserve">The core VTS is:</w:t>
      </w:r>
    </w:p>
    <w:p>
      <w:pPr>
        <w:jc w:val="center"/>
      </w:pPr>
      <w:r>
        <w:drawing>
          <wp:inline distT="0" distB="0" distL="0" distR="0">
            <wp:extent cx="5638800" cy="861199"/>
            <wp:docPr id="65" name="Figure 65" descr="Specification figure or equation in Appendix C — Worked VTS Example; original available in the DOCX"/>
            <a:graphic>
              <a:graphicData uri="http://schemas.openxmlformats.org/drawingml/2006/picture">
                <pic:pic>
                  <pic:nvPicPr>
                    <pic:cNvPr id="0" name="image65.png"/>
                    <pic:cNvPicPr/>
                  </pic:nvPicPr>
                  <pic:blipFill>
                    <a:blip r:embed="rId67"/>
                    <a:stretch>
                      <a:fillRect/>
                    </a:stretch>
                  </pic:blipFill>
                  <pic:spPr>
                    <a:xfrm>
                      <a:off x="0" y="0"/>
                      <a:ext cx="5638800" cy="861199"/>
                    </a:xfrm>
                    <a:prstGeom prst="rect">
                      <a:avLst/>
                    </a:prstGeom>
                  </pic:spPr>
                </pic:pic>
              </a:graphicData>
            </a:graphic>
          </wp:inline>
        </w:drawing>
      </w:r>
    </w:p>
    <w:p>
      <w:pPr>
        <w:pStyle w:val="Normal"/>
      </w:pPr>
      <w:r>
        <w:t xml:space="preserve">Assume the current ERU_core is 0.625000:</w:t>
      </w:r>
    </w:p>
    <w:p>
      <w:pPr>
        <w:jc w:val="center"/>
      </w:pPr>
      <w:r>
        <w:drawing>
          <wp:inline distT="0" distB="0" distL="0" distR="0">
            <wp:extent cx="5638800" cy="848852"/>
            <wp:docPr id="66" name="Figure 66" descr="Specification figure or equation in Appendix C — Worked VTS Example; original available in the DOCX"/>
            <a:graphic>
              <a:graphicData uri="http://schemas.openxmlformats.org/drawingml/2006/picture">
                <pic:pic>
                  <pic:nvPicPr>
                    <pic:cNvPr id="0" name="image66.png"/>
                    <pic:cNvPicPr/>
                  </pic:nvPicPr>
                  <pic:blipFill>
                    <a:blip r:embed="rId68"/>
                    <a:stretch>
                      <a:fillRect/>
                    </a:stretch>
                  </pic:blipFill>
                  <pic:spPr>
                    <a:xfrm>
                      <a:off x="0" y="0"/>
                      <a:ext cx="5638800" cy="848852"/>
                    </a:xfrm>
                    <a:prstGeom prst="rect">
                      <a:avLst/>
                    </a:prstGeom>
                  </pic:spPr>
                </pic:pic>
              </a:graphicData>
            </a:graphic>
          </wp:inline>
        </w:drawing>
      </w:r>
    </w:p>
    <w:p>
      <w:pPr>
        <w:pStyle w:val="Normal"/>
      </w:pPr>
      <w:r>
        <w:t xml:space="preserve">The network is therefore approximately 9.47% above the current reference benchmark.</w:t>
      </w:r>
    </w:p>
    <w:p>
      <w:pPr>
        <w:pStyle w:val="Normal"/>
      </w:pPr>
      <w:r>
        <w:t xml:space="preserve">Assume the standardised VRI is 0.910000:</w:t>
      </w:r>
    </w:p>
    <w:p>
      <w:pPr>
        <w:jc w:val="center"/>
      </w:pPr>
      <w:r>
        <w:drawing>
          <wp:inline distT="0" distB="0" distL="0" distR="0">
            <wp:extent cx="5638800" cy="305617"/>
            <wp:docPr id="67" name="Figure 67" descr="Specification figure or equation in Appendix C — Worked VTS Example; original available in the DOCX"/>
            <a:graphic>
              <a:graphicData uri="http://schemas.openxmlformats.org/drawingml/2006/picture">
                <pic:pic>
                  <pic:nvPicPr>
                    <pic:cNvPr id="0" name="image67.png"/>
                    <pic:cNvPicPr/>
                  </pic:nvPicPr>
                  <pic:blipFill>
                    <a:blip r:embed="rId69"/>
                    <a:stretch>
                      <a:fillRect/>
                    </a:stretch>
                  </pic:blipFill>
                  <pic:spPr>
                    <a:xfrm>
                      <a:off x="0" y="0"/>
                      <a:ext cx="5638800" cy="305617"/>
                    </a:xfrm>
                    <a:prstGeom prst="rect">
                      <a:avLst/>
                    </a:prstGeom>
                  </pic:spPr>
                </pic:pic>
              </a:graphicData>
            </a:graphic>
          </wp:inline>
        </w:drawing>
      </w:r>
    </w:p>
    <w:p>
      <w:pPr>
        <w:pStyle w:val="Normal"/>
      </w:pPr>
      <w:r>
        <w:t xml:space="preserve">The positive gap indicates that measured fundamentals exceed market recognition under the current model. Assume VRS is 38 and VCS is 87. The interpretation is:</w:t>
      </w:r>
    </w:p>
    <w:p>
      <w:pPr>
        <w:pStyle w:val="ListParagraph"/>
      </w:pPr>
      <w:r>
        <w:t xml:space="preserve">• above-reference intrinsic performance;</w:t>
      </w:r>
    </w:p>
    <w:p>
      <w:pPr>
        <w:pStyle w:val="ListParagraph"/>
      </w:pPr>
      <w:r>
        <w:t xml:space="preserve">• positive under-recognition signal;</w:t>
      </w:r>
    </w:p>
    <w:p>
      <w:pPr>
        <w:pStyle w:val="ListParagraph"/>
      </w:pPr>
      <w:r>
        <w:t xml:space="preserve">• moderate-low measured structural risk;</w:t>
      </w:r>
    </w:p>
    <w:p>
      <w:pPr>
        <w:pStyle w:val="ListParagraph"/>
      </w:pPr>
      <w:r>
        <w:t xml:space="preserve">• high-confidence evidence.</w:t>
      </w:r>
    </w:p>
    <w:p>
      <w:pPr>
        <w:pStyle w:val="Normal"/>
      </w:pPr>
      <w:r>
        <w:t xml:space="preserve">This remains a research conclusion, not a prediction that market price will rise.</w:t>
      </w:r>
    </w:p>
    <w:p>
      <w:pPr>
        <w:pStyle w:val="Heading2"/>
      </w:pPr>
      <w:r>
        <w:t xml:space="preserve">C.1 Contribution analysis</w:t>
      </w:r>
    </w:p>
    <w:p>
      <w:pPr>
        <w:pStyle w:val="Normal"/>
      </w:pPr>
      <w:r>
        <w:t xml:space="preserve">Because parent indices are equal, every one-point change in a parent index changes VTS_core by:</w:t>
      </w:r>
    </w:p>
    <w:p>
      <w:pPr>
        <w:jc w:val="center"/>
      </w:pPr>
      <w:r>
        <w:drawing>
          <wp:inline distT="0" distB="0" distL="0" distR="0">
            <wp:extent cx="5638800" cy="1432810"/>
            <wp:docPr id="68" name="Figure 68" descr="Specification figure or equation in Appendix C — Worked VTS Example; original available in the DOCX"/>
            <a:graphic>
              <a:graphicData uri="http://schemas.openxmlformats.org/drawingml/2006/picture">
                <pic:pic>
                  <pic:nvPicPr>
                    <pic:cNvPr id="0" name="image68.png"/>
                    <pic:cNvPicPr/>
                  </pic:nvPicPr>
                  <pic:blipFill>
                    <a:blip r:embed="rId70"/>
                    <a:stretch>
                      <a:fillRect/>
                    </a:stretch>
                  </pic:blipFill>
                  <pic:spPr>
                    <a:xfrm>
                      <a:off x="0" y="0"/>
                      <a:ext cx="5638800" cy="1432810"/>
                    </a:xfrm>
                    <a:prstGeom prst="rect">
                      <a:avLst/>
                    </a:prstGeom>
                  </pic:spPr>
                </pic:pic>
              </a:graphicData>
            </a:graphic>
          </wp:inline>
        </w:drawing>
      </w:r>
    </w:p>
    <w:p>
      <w:pPr>
        <w:pStyle w:val="Normal"/>
      </w:pPr>
      <w:r>
        <w:t xml:space="preserve">The effect on standardised VTS depends on the current ERU:</w:t>
      </w:r>
    </w:p>
    <w:p>
      <w:pPr>
        <w:jc w:val="center"/>
      </w:pPr>
      <w:r>
        <w:drawing>
          <wp:inline distT="0" distB="0" distL="0" distR="0">
            <wp:extent cx="5638800" cy="1505224"/>
            <wp:docPr id="69" name="Figure 69" descr="Specification figure or equation in Appendix C — Worked VTS Example; original available in the DOCX"/>
            <a:graphic>
              <a:graphicData uri="http://schemas.openxmlformats.org/drawingml/2006/picture">
                <pic:pic>
                  <pic:nvPicPr>
                    <pic:cNvPr id="0" name="image69.png"/>
                    <pic:cNvPicPr/>
                  </pic:nvPicPr>
                  <pic:blipFill>
                    <a:blip r:embed="rId71"/>
                    <a:stretch>
                      <a:fillRect/>
                    </a:stretch>
                  </pic:blipFill>
                  <pic:spPr>
                    <a:xfrm>
                      <a:off x="0" y="0"/>
                      <a:ext cx="5638800" cy="1505224"/>
                    </a:xfrm>
                    <a:prstGeom prst="rect">
                      <a:avLst/>
                    </a:prstGeom>
                  </pic:spPr>
                </pic:pic>
              </a:graphicData>
            </a:graphic>
          </wp:inline>
        </w:drawing>
      </w:r>
    </w:p>
    <w:p>
      <w:pPr>
        <w:pStyle w:val="Normal"/>
      </w:pPr>
      <w:r>
        <w:t xml:space="preserve">At an ERU core of 0.625, one parent-index point changes VTS by approximately 0.002667.</w:t>
      </w:r>
    </w:p>
    <w:p>
      <w:pPr>
        <w:pStyle w:val="Heading1"/>
        <w:pageBreakBefore/>
      </w:pPr>
      <w:r>
        <w:t xml:space="preserve">Appendix D — Worked V-FOREX and VOX Example</w:t>
      </w:r>
    </w:p>
    <w:p>
      <w:pPr>
        <w:pStyle w:val="Heading2"/>
      </w:pPr>
      <w:r>
        <w:t xml:space="preserve">D.1 Reference pair</w:t>
      </w:r>
    </w:p>
    <w:p>
      <w:pPr>
        <w:pStyle w:val="Normal"/>
      </w:pPr>
      <w:r>
        <w:t xml:space="preserve">Assume:</w:t>
      </w:r>
    </w:p>
    <w:p>
      <w:pPr>
        <w:jc w:val="center"/>
      </w:pPr>
      <w:r>
        <w:drawing>
          <wp:inline distT="0" distB="0" distL="0" distR="0">
            <wp:extent cx="5638800" cy="535208"/>
            <wp:docPr id="70" name="Figure 70" descr="Specification figure or equation in Appendix D — Worked V-FOREX and VOX Example; original available in the DOCX"/>
            <a:graphic>
              <a:graphicData uri="http://schemas.openxmlformats.org/drawingml/2006/picture">
                <pic:pic>
                  <pic:nvPicPr>
                    <pic:cNvPr id="0" name="image70.png"/>
                    <pic:cNvPicPr/>
                  </pic:nvPicPr>
                  <pic:blipFill>
                    <a:blip r:embed="rId72"/>
                    <a:stretch>
                      <a:fillRect/>
                    </a:stretch>
                  </pic:blipFill>
                  <pic:spPr>
                    <a:xfrm>
                      <a:off x="0" y="0"/>
                      <a:ext cx="5638800" cy="535208"/>
                    </a:xfrm>
                    <a:prstGeom prst="rect">
                      <a:avLst/>
                    </a:prstGeom>
                  </pic:spPr>
                </pic:pic>
              </a:graphicData>
            </a:graphic>
          </wp:inline>
        </w:drawing>
      </w:r>
    </w:p>
    <w:p>
      <w:pPr>
        <w:pStyle w:val="Normal"/>
      </w:pPr>
      <w:r>
        <w:t xml:space="preserve">Then:</w:t>
      </w:r>
    </w:p>
    <w:p>
      <w:pPr>
        <w:jc w:val="center"/>
      </w:pPr>
      <w:r>
        <w:drawing>
          <wp:inline distT="0" distB="0" distL="0" distR="0">
            <wp:extent cx="5638800" cy="1182178"/>
            <wp:docPr id="71" name="Figure 71" descr="Specification figure or equation in Appendix D — Worked V-FOREX and VOX Example; original available in the DOCX"/>
            <a:graphic>
              <a:graphicData uri="http://schemas.openxmlformats.org/drawingml/2006/picture">
                <pic:pic>
                  <pic:nvPicPr>
                    <pic:cNvPr id="0" name="image71.png"/>
                    <pic:cNvPicPr/>
                  </pic:nvPicPr>
                  <pic:blipFill>
                    <a:blip r:embed="rId73"/>
                    <a:stretch>
                      <a:fillRect/>
                    </a:stretch>
                  </pic:blipFill>
                  <pic:spPr>
                    <a:xfrm>
                      <a:off x="0" y="0"/>
                      <a:ext cx="5638800" cy="1182178"/>
                    </a:xfrm>
                    <a:prstGeom prst="rect">
                      <a:avLst/>
                    </a:prstGeom>
                  </pic:spPr>
                </pic:pic>
              </a:graphicData>
            </a:graphic>
          </wp:inline>
        </w:drawing>
      </w:r>
    </w:p>
    <w:p>
      <w:pPr>
        <w:pStyle w:val="Normal"/>
      </w:pPr>
      <w:r>
        <w:t xml:space="preserve">If a real market trades at 1.65:</w:t>
      </w:r>
    </w:p>
    <w:p>
      <w:pPr>
        <w:jc w:val="center"/>
      </w:pPr>
      <w:r>
        <w:drawing>
          <wp:inline distT="0" distB="0" distL="0" distR="0">
            <wp:extent cx="5638800" cy="553771"/>
            <wp:docPr id="72" name="Figure 72" descr="Specification figure or equation in Appendix D — Worked V-FOREX and VOX Example; original available in the DOCX"/>
            <a:graphic>
              <a:graphicData uri="http://schemas.openxmlformats.org/drawingml/2006/picture">
                <pic:pic>
                  <pic:nvPicPr>
                    <pic:cNvPr id="0" name="image72.png"/>
                    <pic:cNvPicPr/>
                  </pic:nvPicPr>
                  <pic:blipFill>
                    <a:blip r:embed="rId74"/>
                    <a:stretch>
                      <a:fillRect/>
                    </a:stretch>
                  </pic:blipFill>
                  <pic:spPr>
                    <a:xfrm>
                      <a:off x="0" y="0"/>
                      <a:ext cx="5638800" cy="553771"/>
                    </a:xfrm>
                    <a:prstGeom prst="rect">
                      <a:avLst/>
                    </a:prstGeom>
                  </pic:spPr>
                </pic:pic>
              </a:graphicData>
            </a:graphic>
          </wp:inline>
        </w:drawing>
      </w:r>
    </w:p>
    <w:p>
      <w:pPr>
        <w:pStyle w:val="Normal"/>
      </w:pPr>
      <w:r>
        <w:t xml:space="preserve">VOX-A trades at a 10% premium to the VTS reference relative to VOX-B. This is a market observation, not proof of risk-free arbitrage.</w:t>
      </w:r>
    </w:p>
    <w:p>
      <w:pPr>
        <w:pStyle w:val="Heading2"/>
      </w:pPr>
      <w:r>
        <w:t xml:space="preserve">D.2 Indexed-supply example</w:t>
      </w:r>
    </w:p>
    <w:p>
      <w:pPr>
        <w:pStyle w:val="Normal"/>
      </w:pPr>
      <w:r>
        <w:t xml:space="preserve">Assume the optional implementation uses:</w:t>
      </w:r>
    </w:p>
    <w:p>
      <w:pPr>
        <w:pStyle w:val="ListParagraph"/>
      </w:pPr>
      <w:r>
        <w:t xml:space="preserve">• C_ref = 10,000,000;</w:t>
      </w:r>
    </w:p>
    <w:p>
      <w:pPr>
        <w:pStyle w:val="ListParagraph"/>
      </w:pPr>
      <w:r>
        <w:t xml:space="preserve">• κ = 1;</w:t>
      </w:r>
    </w:p>
    <w:p>
      <w:pPr>
        <w:pStyle w:val="ListParagraph"/>
      </w:pPr>
      <w:r>
        <w:t xml:space="preserve">• g_min = 0.20;</w:t>
      </w:r>
    </w:p>
    <w:p>
      <w:pPr>
        <w:pStyle w:val="ListParagraph"/>
      </w:pPr>
      <w:r>
        <w:t xml:space="preserve">• g_max = 1.50;</w:t>
      </w:r>
    </w:p>
    <w:p>
      <w:pPr>
        <w:pStyle w:val="ListParagraph"/>
      </w:pPr>
      <w:r>
        <w:t xml:space="preserve">• VTS = 1.10;</w:t>
      </w:r>
    </w:p>
    <w:p>
      <w:pPr>
        <w:pStyle w:val="ListParagraph"/>
      </w:pPr>
      <w:r>
        <w:t xml:space="preserve">• current supply S_current = 9,500,000;</w:t>
      </w:r>
    </w:p>
    <w:p>
      <w:pPr>
        <w:pStyle w:val="ListParagraph"/>
      </w:pPr>
      <w:r>
        <w:t xml:space="preserve">• maximum adjustment r_max = 2% per period.</w:t>
      </w:r>
    </w:p>
    <w:p>
      <w:pPr>
        <w:pStyle w:val="Normal"/>
      </w:pPr>
      <w:r>
        <w:t xml:space="preserve">Target supply:</w:t>
      </w:r>
    </w:p>
    <w:p>
      <w:pPr>
        <w:jc w:val="center"/>
      </w:pPr>
      <w:r>
        <w:drawing>
          <wp:inline distT="0" distB="0" distL="0" distR="0">
            <wp:extent cx="5638800" cy="448860"/>
            <wp:docPr id="73" name="Figure 73" descr="Specification figure or equation in Appendix D — Worked V-FOREX and VOX Example; original available in the DOCX"/>
            <a:graphic>
              <a:graphicData uri="http://schemas.openxmlformats.org/drawingml/2006/picture">
                <pic:pic>
                  <pic:nvPicPr>
                    <pic:cNvPr id="0" name="image73.png"/>
                    <pic:cNvPicPr/>
                  </pic:nvPicPr>
                  <pic:blipFill>
                    <a:blip r:embed="rId75"/>
                    <a:stretch>
                      <a:fillRect/>
                    </a:stretch>
                  </pic:blipFill>
                  <pic:spPr>
                    <a:xfrm>
                      <a:off x="0" y="0"/>
                      <a:ext cx="5638800" cy="448860"/>
                    </a:xfrm>
                    <a:prstGeom prst="rect">
                      <a:avLst/>
                    </a:prstGeom>
                  </pic:spPr>
                </pic:pic>
              </a:graphicData>
            </a:graphic>
          </wp:inline>
        </w:drawing>
      </w:r>
    </w:p>
    <w:p>
      <w:pPr>
        <w:pStyle w:val="Normal"/>
      </w:pPr>
      <w:r>
        <w:t xml:space="preserve">Unbounded adjustment:</w:t>
      </w:r>
    </w:p>
    <w:p>
      <w:pPr>
        <w:jc w:val="center"/>
      </w:pPr>
      <w:r>
        <w:drawing>
          <wp:inline distT="0" distB="0" distL="0" distR="0">
            <wp:extent cx="5638800" cy="1147011"/>
            <wp:docPr id="74" name="Figure 74" descr="Specification figure or equation in Appendix D — Worked V-FOREX and VOX Example; original available in the DOCX"/>
            <a:graphic>
              <a:graphicData uri="http://schemas.openxmlformats.org/drawingml/2006/picture">
                <pic:pic>
                  <pic:nvPicPr>
                    <pic:cNvPr id="0" name="image74.png"/>
                    <pic:cNvPicPr/>
                  </pic:nvPicPr>
                  <pic:blipFill>
                    <a:blip r:embed="rId76"/>
                    <a:stretch>
                      <a:fillRect/>
                    </a:stretch>
                  </pic:blipFill>
                  <pic:spPr>
                    <a:xfrm>
                      <a:off x="0" y="0"/>
                      <a:ext cx="5638800" cy="1147011"/>
                    </a:xfrm>
                    <a:prstGeom prst="rect">
                      <a:avLst/>
                    </a:prstGeom>
                  </pic:spPr>
                </pic:pic>
              </a:graphicData>
            </a:graphic>
          </wp:inline>
        </w:drawing>
      </w:r>
    </w:p>
    <w:p>
      <w:pPr>
        <w:pStyle w:val="Normal"/>
      </w:pPr>
      <w:r>
        <w:t xml:space="preserve">The 2% limit applies:</w:t>
      </w:r>
    </w:p>
    <w:p>
      <w:pPr>
        <w:jc w:val="center"/>
      </w:pPr>
      <w:r>
        <w:drawing>
          <wp:inline distT="0" distB="0" distL="0" distR="0">
            <wp:extent cx="5638800" cy="2203066"/>
            <wp:docPr id="75" name="Figure 75" descr="Specification figure or equation in Appendix D — Worked V-FOREX and VOX Example; original available in the DOCX"/>
            <a:graphic>
              <a:graphicData uri="http://schemas.openxmlformats.org/drawingml/2006/picture">
                <pic:pic>
                  <pic:nvPicPr>
                    <pic:cNvPr id="0" name="image75.png"/>
                    <pic:cNvPicPr/>
                  </pic:nvPicPr>
                  <pic:blipFill>
                    <a:blip r:embed="rId77"/>
                    <a:stretch>
                      <a:fillRect/>
                    </a:stretch>
                  </pic:blipFill>
                  <pic:spPr>
                    <a:xfrm>
                      <a:off x="0" y="0"/>
                      <a:ext cx="5638800" cy="2203066"/>
                    </a:xfrm>
                    <a:prstGeom prst="rect">
                      <a:avLst/>
                    </a:prstGeom>
                  </pic:spPr>
                </pic:pic>
              </a:graphicData>
            </a:graphic>
          </wp:inline>
        </w:drawing>
      </w:r>
    </w:p>
    <w:p>
      <w:pPr>
        <w:pStyle w:val="Normal"/>
      </w:pPr>
      <w:r>
        <w:t xml:space="preserve">Next supply:</w:t>
      </w:r>
    </w:p>
    <w:p>
      <w:pPr>
        <w:jc w:val="center"/>
      </w:pPr>
      <w:r>
        <w:drawing>
          <wp:inline distT="0" distB="0" distL="0" distR="0">
            <wp:extent cx="5638800" cy="430599"/>
            <wp:docPr id="76" name="Figure 76" descr="Specification figure or equation in Appendix D — Worked V-FOREX and VOX Example; original available in the DOCX"/>
            <a:graphic>
              <a:graphicData uri="http://schemas.openxmlformats.org/drawingml/2006/picture">
                <pic:pic>
                  <pic:nvPicPr>
                    <pic:cNvPr id="0" name="image76.png"/>
                    <pic:cNvPicPr/>
                  </pic:nvPicPr>
                  <pic:blipFill>
                    <a:blip r:embed="rId78"/>
                    <a:stretch>
                      <a:fillRect/>
                    </a:stretch>
                  </pic:blipFill>
                  <pic:spPr>
                    <a:xfrm>
                      <a:off x="0" y="0"/>
                      <a:ext cx="5638800" cy="430599"/>
                    </a:xfrm>
                    <a:prstGeom prst="rect">
                      <a:avLst/>
                    </a:prstGeom>
                  </pic:spPr>
                </pic:pic>
              </a:graphicData>
            </a:graphic>
          </wp:inline>
        </w:drawing>
      </w:r>
    </w:p>
    <w:p>
      <w:pPr>
        <w:pStyle w:val="Normal"/>
      </w:pPr>
      <w:r>
        <w:t xml:space="preserve">The target is approached gradually rather than through immediate expansion.</w:t>
      </w:r>
    </w:p>
    <w:p>
      <w:pPr>
        <w:pStyle w:val="Normal"/>
      </w:pPr>
      <w:r>
        <w:t xml:space="preserve">If VTS later falls and the target becomes 9,000,000 while current supply is 9,690,000, the unbounded contraction is approximately -7.12%. The -2% limit applies:</w:t>
      </w:r>
    </w:p>
    <w:p>
      <w:pPr>
        <w:jc w:val="center"/>
      </w:pPr>
      <w:r>
        <w:drawing>
          <wp:inline distT="0" distB="0" distL="0" distR="0">
            <wp:extent cx="5638800" cy="430599"/>
            <wp:docPr id="77" name="Figure 77" descr="Specification figure or equation in Appendix D — Worked V-FOREX and VOX Example; original available in the DOCX"/>
            <a:graphic>
              <a:graphicData uri="http://schemas.openxmlformats.org/drawingml/2006/picture">
                <pic:pic>
                  <pic:nvPicPr>
                    <pic:cNvPr id="0" name="image77.png"/>
                    <pic:cNvPicPr/>
                  </pic:nvPicPr>
                  <pic:blipFill>
                    <a:blip r:embed="rId79"/>
                    <a:stretch>
                      <a:fillRect/>
                    </a:stretch>
                  </pic:blipFill>
                  <pic:spPr>
                    <a:xfrm>
                      <a:off x="0" y="0"/>
                      <a:ext cx="5638800" cy="430599"/>
                    </a:xfrm>
                    <a:prstGeom prst="rect">
                      <a:avLst/>
                    </a:prstGeom>
                  </pic:spPr>
                </pic:pic>
              </a:graphicData>
            </a:graphic>
          </wp:inline>
        </w:drawing>
      </w:r>
    </w:p>
    <w:p>
      <w:pPr>
        <w:pStyle w:val="Normal"/>
      </w:pPr>
      <w:r>
        <w:t xml:space="preserve">Every indexed balance contracts proportionally. This resolves the earlier undefined supply-compression problem.</w:t>
      </w:r>
    </w:p>
    <w:p>
      <w:pPr>
        <w:pStyle w:val="Heading1"/>
        <w:pageBreakBefore/>
      </w:pPr>
      <w:r>
        <w:t xml:space="preserve">Appendix E — Adapter Standard</w:t>
      </w:r>
    </w:p>
    <w:p>
      <w:pPr>
        <w:pStyle w:val="Normal"/>
      </w:pPr>
      <w:r>
        <w:t xml:space="preserve">Every certified adapter repository contains:</w:t>
      </w:r>
    </w:p>
    <w:p>
      <w:pPr>
        <w:pStyle w:val="ListParagraph"/>
      </w:pPr>
      <w:r>
        <w:t xml:space="preserve">• network.yaml — canonical network identity, architecture and scope.</w:t>
      </w:r>
    </w:p>
    <w:p>
      <w:pPr>
        <w:pStyle w:val="ListParagraph"/>
      </w:pPr>
      <w:r>
        <w:t xml:space="preserve">• metrics.yaml — supported canonical metric IDs and versions.</w:t>
      </w:r>
    </w:p>
    <w:p>
      <w:pPr>
        <w:pStyle w:val="ListParagraph"/>
      </w:pPr>
      <w:r>
        <w:t xml:space="preserve">• sources.yaml — source hierarchy, licences and fallback rules.</w:t>
      </w:r>
    </w:p>
    <w:p>
      <w:pPr>
        <w:pStyle w:val="ListParagraph"/>
      </w:pPr>
      <w:r>
        <w:t xml:space="preserve">• queries/ — RPC, SQL, subgraph or API extraction logic.</w:t>
      </w:r>
    </w:p>
    <w:p>
      <w:pPr>
        <w:pStyle w:val="ListParagraph"/>
      </w:pPr>
      <w:r>
        <w:t xml:space="preserve">• transforms/ — unit, classification and quality transformations.</w:t>
      </w:r>
    </w:p>
    <w:p>
      <w:pPr>
        <w:pStyle w:val="ListParagraph"/>
      </w:pPr>
      <w:r>
        <w:t xml:space="preserve">• fixtures/ — known block, transaction and event examples.</w:t>
      </w:r>
    </w:p>
    <w:p>
      <w:pPr>
        <w:pStyle w:val="ListParagraph"/>
      </w:pPr>
      <w:r>
        <w:t xml:space="preserve">• tests/ — unit, integration, regression and failure tests.</w:t>
      </w:r>
    </w:p>
    <w:p>
      <w:pPr>
        <w:pStyle w:val="ListParagraph"/>
      </w:pPr>
      <w:r>
        <w:t xml:space="preserve">• limitations.md — blind spots, assumptions and unobservable data.</w:t>
      </w:r>
    </w:p>
    <w:p>
      <w:pPr>
        <w:pStyle w:val="ListParagraph"/>
      </w:pPr>
      <w:r>
        <w:t xml:space="preserve">• CHANGELOG.md — version history.</w:t>
      </w:r>
    </w:p>
    <w:p>
      <w:pPr>
        <w:pStyle w:val="ListParagraph"/>
      </w:pPr>
      <w:r>
        <w:t xml:space="preserve">• BUILD.md — reproducible environment and execution steps.</w:t>
      </w:r>
    </w:p>
    <w:p>
      <w:pPr>
        <w:pStyle w:val="Heading2"/>
      </w:pPr>
      <w:r>
        <w:t xml:space="preserve">E.1 Required adapter metadata</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Field</w:t>
            </w:r>
          </w:p>
        </w:tc>
        <w:tc>
          <w:tcPr>
            <w:tcW w:w="4550" w:type="dxa"/>
          </w:tcPr>
          <w:p>
            <w:pPr>
              <w:pStyle w:val="TableHeader"/>
            </w:pPr>
            <w:r>
              <w:t xml:space="preserve">Description</w:t>
            </w:r>
          </w:p>
        </w:tc>
      </w:tr>
      <w:tr>
        <w:trPr>
          <w:cantSplit/>
        </w:trPr>
        <w:tc>
          <w:tcPr>
            <w:tcW w:w="4550" w:type="dxa"/>
          </w:tcPr>
          <w:p>
            <w:pPr>
              <w:pStyle w:val="TableText"/>
            </w:pPr>
            <w:r>
              <w:t xml:space="preserve">Network ID</w:t>
            </w:r>
          </w:p>
        </w:tc>
        <w:tc>
          <w:tcPr>
            <w:tcW w:w="4550" w:type="dxa"/>
          </w:tcPr>
          <w:p>
            <w:pPr>
              <w:pStyle w:val="TableText"/>
            </w:pPr>
            <w:r>
              <w:t xml:space="preserve">Stable identifier independent of branding changes</w:t>
            </w:r>
          </w:p>
        </w:tc>
      </w:tr>
      <w:tr>
        <w:trPr>
          <w:cantSplit/>
        </w:trPr>
        <w:tc>
          <w:tcPr>
            <w:tcW w:w="4550" w:type="dxa"/>
          </w:tcPr>
          <w:p>
            <w:pPr>
              <w:pStyle w:val="TableText"/>
            </w:pPr>
            <w:r>
              <w:t xml:space="preserve">Architecture class</w:t>
            </w:r>
          </w:p>
        </w:tc>
        <w:tc>
          <w:tcPr>
            <w:tcW w:w="4550" w:type="dxa"/>
          </w:tcPr>
          <w:p>
            <w:pPr>
              <w:pStyle w:val="TableText"/>
            </w:pPr>
            <w:r>
              <w:t xml:space="preserve">PoW, PoS, rollup, app-chain, modular or other</w:t>
            </w:r>
          </w:p>
        </w:tc>
      </w:tr>
      <w:tr>
        <w:trPr>
          <w:cantSplit/>
        </w:trPr>
        <w:tc>
          <w:tcPr>
            <w:tcW w:w="4550" w:type="dxa"/>
          </w:tcPr>
          <w:p>
            <w:pPr>
              <w:pStyle w:val="TableText"/>
            </w:pPr>
            <w:r>
              <w:t xml:space="preserve">Genesis and history</w:t>
            </w:r>
          </w:p>
        </w:tc>
        <w:tc>
          <w:tcPr>
            <w:tcW w:w="4550" w:type="dxa"/>
          </w:tcPr>
          <w:p>
            <w:pPr>
              <w:pStyle w:val="TableText"/>
            </w:pPr>
            <w:r>
              <w:t xml:space="preserve">Earliest reliable observation date</w:t>
            </w:r>
          </w:p>
        </w:tc>
      </w:tr>
      <w:tr>
        <w:trPr>
          <w:cantSplit/>
        </w:trPr>
        <w:tc>
          <w:tcPr>
            <w:tcW w:w="4550" w:type="dxa"/>
          </w:tcPr>
          <w:p>
            <w:pPr>
              <w:pStyle w:val="TableText"/>
            </w:pPr>
            <w:r>
              <w:t xml:space="preserve">Canonical scope</w:t>
            </w:r>
          </w:p>
        </w:tc>
        <w:tc>
          <w:tcPr>
            <w:tcW w:w="4550" w:type="dxa"/>
          </w:tcPr>
          <w:p>
            <w:pPr>
              <w:pStyle w:val="TableText"/>
            </w:pPr>
            <w:r>
              <w:t xml:space="preserve">Included execution, settlement and ecosystem boundaries</w:t>
            </w:r>
          </w:p>
        </w:tc>
      </w:tr>
      <w:tr>
        <w:trPr>
          <w:cantSplit/>
        </w:trPr>
        <w:tc>
          <w:tcPr>
            <w:tcW w:w="4550" w:type="dxa"/>
          </w:tcPr>
          <w:p>
            <w:pPr>
              <w:pStyle w:val="TableText"/>
            </w:pPr>
            <w:r>
              <w:t xml:space="preserve">Maintainers</w:t>
            </w:r>
          </w:p>
        </w:tc>
        <w:tc>
          <w:tcPr>
            <w:tcW w:w="4550" w:type="dxa"/>
          </w:tcPr>
          <w:p>
            <w:pPr>
              <w:pStyle w:val="TableText"/>
            </w:pPr>
            <w:r>
              <w:t xml:space="preserve">Public keys and governance status</w:t>
            </w:r>
          </w:p>
        </w:tc>
      </w:tr>
      <w:tr>
        <w:trPr>
          <w:cantSplit/>
        </w:trPr>
        <w:tc>
          <w:tcPr>
            <w:tcW w:w="4550" w:type="dxa"/>
          </w:tcPr>
          <w:p>
            <w:pPr>
              <w:pStyle w:val="TableText"/>
            </w:pPr>
            <w:r>
              <w:t xml:space="preserve">Certification state</w:t>
            </w:r>
          </w:p>
        </w:tc>
        <w:tc>
          <w:tcPr>
            <w:tcW w:w="4550" w:type="dxa"/>
          </w:tcPr>
          <w:p>
            <w:pPr>
              <w:pStyle w:val="TableText"/>
            </w:pPr>
            <w:r>
              <w:t xml:space="preserve">Experimental, provisional, certified or suspended</w:t>
            </w:r>
          </w:p>
        </w:tc>
      </w:tr>
      <w:tr>
        <w:trPr>
          <w:cantSplit/>
        </w:trPr>
        <w:tc>
          <w:tcPr>
            <w:tcW w:w="4550" w:type="dxa"/>
          </w:tcPr>
          <w:p>
            <w:pPr>
              <w:pStyle w:val="TableText"/>
            </w:pPr>
            <w:r>
              <w:t xml:space="preserve">Dependencies</w:t>
            </w:r>
          </w:p>
        </w:tc>
        <w:tc>
          <w:tcPr>
            <w:tcW w:w="4550" w:type="dxa"/>
          </w:tcPr>
          <w:p>
            <w:pPr>
              <w:pStyle w:val="TableText"/>
            </w:pPr>
            <w:r>
              <w:t xml:space="preserve">Nodes, providers, indexers, contracts and libraries</w:t>
            </w:r>
          </w:p>
        </w:tc>
      </w:tr>
      <w:tr>
        <w:trPr>
          <w:cantSplit/>
        </w:trPr>
        <w:tc>
          <w:tcPr>
            <w:tcW w:w="4550" w:type="dxa"/>
          </w:tcPr>
          <w:p>
            <w:pPr>
              <w:pStyle w:val="TableText"/>
            </w:pPr>
            <w:r>
              <w:t xml:space="preserve">Critical assumptions</w:t>
            </w:r>
          </w:p>
        </w:tc>
        <w:tc>
          <w:tcPr>
            <w:tcW w:w="4550" w:type="dxa"/>
          </w:tcPr>
          <w:p>
            <w:pPr>
              <w:pStyle w:val="TableText"/>
            </w:pPr>
            <w:r>
              <w:t xml:space="preserve">Trust and classification assumptions</w:t>
            </w:r>
          </w:p>
        </w:tc>
      </w:tr>
      <w:tr>
        <w:trPr>
          <w:cantSplit/>
        </w:trPr>
        <w:tc>
          <w:tcPr>
            <w:tcW w:w="4550" w:type="dxa"/>
          </w:tcPr>
          <w:p>
            <w:pPr>
              <w:pStyle w:val="TableText"/>
            </w:pPr>
            <w:r>
              <w:t xml:space="preserve">Test coverage</w:t>
            </w:r>
          </w:p>
        </w:tc>
        <w:tc>
          <w:tcPr>
            <w:tcW w:w="4550" w:type="dxa"/>
          </w:tcPr>
          <w:p>
            <w:pPr>
              <w:pStyle w:val="TableText"/>
            </w:pPr>
            <w:r>
              <w:t xml:space="preserve">Automated and manually reviewed coverage</w:t>
            </w:r>
          </w:p>
        </w:tc>
      </w:tr>
    </w:tbl>
    <w:p>
      <w:pPr>
        <w:pStyle w:val="Heading2"/>
      </w:pPr>
      <w:r>
        <w:t xml:space="preserve">E.2 Adapter review checklist</w:t>
      </w:r>
    </w:p>
    <w:p>
      <w:pPr>
        <w:pStyle w:val="ListParagraph"/>
      </w:pPr>
      <w:r>
        <w:t xml:space="preserve">• Are quantities expressed in canonical units?</w:t>
      </w:r>
    </w:p>
    <w:p>
      <w:pPr>
        <w:pStyle w:val="ListParagraph"/>
      </w:pPr>
      <w:r>
        <w:t xml:space="preserve">• Are bridge and wrapped-asset duplicates removed?</w:t>
      </w:r>
    </w:p>
    <w:p>
      <w:pPr>
        <w:pStyle w:val="ListParagraph"/>
      </w:pPr>
      <w:r>
        <w:t xml:space="preserve">• Are contract and system accounts classified consistently?</w:t>
      </w:r>
    </w:p>
    <w:p>
      <w:pPr>
        <w:pStyle w:val="ListParagraph"/>
      </w:pPr>
      <w:r>
        <w:t xml:space="preserve">• Are consensus entities mapped to effective control where possible?</w:t>
      </w:r>
    </w:p>
    <w:p>
      <w:pPr>
        <w:pStyle w:val="ListParagraph"/>
      </w:pPr>
      <w:r>
        <w:t xml:space="preserve">• Are source failures explicit?</w:t>
      </w:r>
    </w:p>
    <w:p>
      <w:pPr>
        <w:pStyle w:val="ListParagraph"/>
      </w:pPr>
      <w:r>
        <w:t xml:space="preserve">• Are data revisions versioned?</w:t>
      </w:r>
    </w:p>
    <w:p>
      <w:pPr>
        <w:pStyle w:val="ListParagraph"/>
      </w:pPr>
      <w:r>
        <w:t xml:space="preserve">• Can a third party reproduce the output?</w:t>
      </w:r>
    </w:p>
    <w:p>
      <w:pPr>
        <w:pStyle w:val="ListParagraph"/>
      </w:pPr>
      <w:r>
        <w:t xml:space="preserve">• Does the adapter expose privacy or legal concerns?</w:t>
      </w:r>
    </w:p>
    <w:p>
      <w:pPr>
        <w:pStyle w:val="ListParagraph"/>
      </w:pPr>
      <w:r>
        <w:t xml:space="preserve">• Does it create a systematic advantage for the network architecture?</w:t>
      </w:r>
    </w:p>
    <w:p>
      <w:pPr>
        <w:pStyle w:val="Heading1"/>
        <w:pageBreakBefore/>
      </w:pPr>
      <w:r>
        <w:t xml:space="preserve">Appendix F — Data Quality and Confidence Rules</w:t>
      </w:r>
    </w:p>
    <w:p>
      <w:pPr>
        <w:pStyle w:val="Heading2"/>
      </w:pPr>
      <w:r>
        <w:t xml:space="preserve">F.1 Source-quality scale</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Score</w:t>
            </w:r>
          </w:p>
        </w:tc>
        <w:tc>
          <w:tcPr>
            <w:tcW w:w="4550" w:type="dxa"/>
          </w:tcPr>
          <w:p>
            <w:pPr>
              <w:pStyle w:val="TableHeader"/>
            </w:pPr>
            <w:r>
              <w:t xml:space="preserve">Source class</w:t>
            </w:r>
          </w:p>
        </w:tc>
      </w:tr>
      <w:tr>
        <w:trPr>
          <w:cantSplit/>
        </w:trPr>
        <w:tc>
          <w:tcPr>
            <w:tcW w:w="4550" w:type="dxa"/>
          </w:tcPr>
          <w:p>
            <w:pPr>
              <w:pStyle w:val="TableText"/>
            </w:pPr>
            <w:r>
              <w:t xml:space="preserve">90–100</w:t>
            </w:r>
          </w:p>
        </w:tc>
        <w:tc>
          <w:tcPr>
            <w:tcW w:w="4550" w:type="dxa"/>
          </w:tcPr>
          <w:p>
            <w:pPr>
              <w:pStyle w:val="TableText"/>
            </w:pPr>
            <w:r>
              <w:t xml:space="preserve">Direct cryptographically verifiable or deterministic chain data</w:t>
            </w:r>
          </w:p>
        </w:tc>
      </w:tr>
      <w:tr>
        <w:trPr>
          <w:cantSplit/>
        </w:trPr>
        <w:tc>
          <w:tcPr>
            <w:tcW w:w="4550" w:type="dxa"/>
          </w:tcPr>
          <w:p>
            <w:pPr>
              <w:pStyle w:val="TableText"/>
            </w:pPr>
            <w:r>
              <w:t xml:space="preserve">75–89</w:t>
            </w:r>
          </w:p>
        </w:tc>
        <w:tc>
          <w:tcPr>
            <w:tcW w:w="4550" w:type="dxa"/>
          </w:tcPr>
          <w:p>
            <w:pPr>
              <w:pStyle w:val="TableText"/>
            </w:pPr>
            <w:r>
              <w:t xml:space="preserve">Open-source independent indexer with reproducible methodology</w:t>
            </w:r>
          </w:p>
        </w:tc>
      </w:tr>
      <w:tr>
        <w:trPr>
          <w:cantSplit/>
        </w:trPr>
        <w:tc>
          <w:tcPr>
            <w:tcW w:w="4550" w:type="dxa"/>
          </w:tcPr>
          <w:p>
            <w:pPr>
              <w:pStyle w:val="TableText"/>
            </w:pPr>
            <w:r>
              <w:t xml:space="preserve">60–74</w:t>
            </w:r>
          </w:p>
        </w:tc>
        <w:tc>
          <w:tcPr>
            <w:tcW w:w="4550" w:type="dxa"/>
          </w:tcPr>
          <w:p>
            <w:pPr>
              <w:pStyle w:val="TableText"/>
            </w:pPr>
            <w:r>
              <w:t xml:space="preserve">Transparent specialist or aggregator with documented inputs</w:t>
            </w:r>
          </w:p>
        </w:tc>
      </w:tr>
      <w:tr>
        <w:trPr>
          <w:cantSplit/>
        </w:trPr>
        <w:tc>
          <w:tcPr>
            <w:tcW w:w="4550" w:type="dxa"/>
          </w:tcPr>
          <w:p>
            <w:pPr>
              <w:pStyle w:val="TableText"/>
            </w:pPr>
            <w:r>
              <w:t xml:space="preserve">40–59</w:t>
            </w:r>
          </w:p>
        </w:tc>
        <w:tc>
          <w:tcPr>
            <w:tcW w:w="4550" w:type="dxa"/>
          </w:tcPr>
          <w:p>
            <w:pPr>
              <w:pStyle w:val="TableText"/>
            </w:pPr>
            <w:r>
              <w:t xml:space="preserve">Partially transparent provider or estimated classification</w:t>
            </w:r>
          </w:p>
        </w:tc>
      </w:tr>
      <w:tr>
        <w:trPr>
          <w:cantSplit/>
        </w:trPr>
        <w:tc>
          <w:tcPr>
            <w:tcW w:w="4550" w:type="dxa"/>
          </w:tcPr>
          <w:p>
            <w:pPr>
              <w:pStyle w:val="TableText"/>
            </w:pPr>
            <w:r>
              <w:t xml:space="preserve">20–39</w:t>
            </w:r>
          </w:p>
        </w:tc>
        <w:tc>
          <w:tcPr>
            <w:tcW w:w="4550" w:type="dxa"/>
          </w:tcPr>
          <w:p>
            <w:pPr>
              <w:pStyle w:val="TableText"/>
            </w:pPr>
            <w:r>
              <w:t xml:space="preserve">Opaque or single-party assertion with limited verification</w:t>
            </w:r>
          </w:p>
        </w:tc>
      </w:tr>
      <w:tr>
        <w:trPr>
          <w:cantSplit/>
        </w:trPr>
        <w:tc>
          <w:tcPr>
            <w:tcW w:w="4550" w:type="dxa"/>
          </w:tcPr>
          <w:p>
            <w:pPr>
              <w:pStyle w:val="TableText"/>
            </w:pPr>
            <w:r>
              <w:t xml:space="preserve">0–19</w:t>
            </w:r>
          </w:p>
        </w:tc>
        <w:tc>
          <w:tcPr>
            <w:tcW w:w="4550" w:type="dxa"/>
          </w:tcPr>
          <w:p>
            <w:pPr>
              <w:pStyle w:val="TableText"/>
            </w:pPr>
            <w:r>
              <w:t xml:space="preserve">Unverifiable, stale or materially disputed evidence</w:t>
            </w:r>
          </w:p>
        </w:tc>
      </w:tr>
    </w:tbl>
    <w:p>
      <w:pPr>
        <w:pStyle w:val="Normal"/>
      </w:pPr>
      <w:r>
        <w:t xml:space="preserve">The scale is guidance; the registry defines metric-specific requirements.</w:t>
      </w:r>
    </w:p>
    <w:p>
      <w:pPr>
        <w:pStyle w:val="Heading2"/>
      </w:pPr>
      <w:r>
        <w:t xml:space="preserve">F.2 Freshness decay</w:t>
      </w:r>
    </w:p>
    <w:p>
      <w:pPr>
        <w:pStyle w:val="Normal"/>
      </w:pPr>
      <w:r>
        <w:t xml:space="preserve">A metric may use a decay function after its freshness deadline d_0:</w:t>
      </w:r>
    </w:p>
    <w:p>
      <w:pPr>
        <w:jc w:val="center"/>
      </w:pPr>
      <w:r>
        <w:drawing>
          <wp:inline distT="0" distB="0" distL="0" distR="0">
            <wp:extent cx="5638800" cy="482490"/>
            <wp:docPr id="78" name="Figure 78" descr="Specification figure or equation in Appendix F — Data Quality and Confidence Rules; original available in the DOCX"/>
            <a:graphic>
              <a:graphicData uri="http://schemas.openxmlformats.org/drawingml/2006/picture">
                <pic:pic>
                  <pic:nvPicPr>
                    <pic:cNvPr id="0" name="image78.png"/>
                    <pic:cNvPicPr/>
                  </pic:nvPicPr>
                  <pic:blipFill>
                    <a:blip r:embed="rId80"/>
                    <a:stretch>
                      <a:fillRect/>
                    </a:stretch>
                  </pic:blipFill>
                  <pic:spPr>
                    <a:xfrm>
                      <a:off x="0" y="0"/>
                      <a:ext cx="5638800" cy="482490"/>
                    </a:xfrm>
                    <a:prstGeom prst="rect">
                      <a:avLst/>
                    </a:prstGeom>
                  </pic:spPr>
                </pic:pic>
              </a:graphicData>
            </a:graphic>
          </wp:inline>
        </w:drawing>
      </w:r>
    </w:p>
    <w:p>
      <w:pPr>
        <w:pStyle w:val="Normal"/>
      </w:pPr>
      <w:r>
        <w:t xml:space="preserve">where d is age and λ is set by the registry. Critical incident data may have a much faster decay than annual legal documentation.</w:t>
      </w:r>
    </w:p>
    <w:p>
      <w:pPr>
        <w:pStyle w:val="Heading2"/>
      </w:pPr>
      <w:r>
        <w:t xml:space="preserve">F.3 Cross-source consistency</w:t>
      </w:r>
    </w:p>
    <w:p>
      <w:pPr>
        <w:pStyle w:val="Normal"/>
      </w:pPr>
      <w:r>
        <w:t xml:space="preserve">For comparable observations x_1, …, x_n, relative dispersion may be measured using median absolute deviation:</w:t>
      </w:r>
    </w:p>
    <w:p>
      <w:pPr>
        <w:jc w:val="center"/>
      </w:pPr>
      <w:r>
        <w:drawing>
          <wp:inline distT="0" distB="0" distL="0" distR="0">
            <wp:extent cx="5638800" cy="899028"/>
            <wp:docPr id="79" name="Figure 79" descr="Specification figure or equation in Appendix F — Data Quality and Confidence Rules; original available in the DOCX"/>
            <a:graphic>
              <a:graphicData uri="http://schemas.openxmlformats.org/drawingml/2006/picture">
                <pic:pic>
                  <pic:nvPicPr>
                    <pic:cNvPr id="0" name="image79.png"/>
                    <pic:cNvPicPr/>
                  </pic:nvPicPr>
                  <pic:blipFill>
                    <a:blip r:embed="rId81"/>
                    <a:stretch>
                      <a:fillRect/>
                    </a:stretch>
                  </pic:blipFill>
                  <pic:spPr>
                    <a:xfrm>
                      <a:off x="0" y="0"/>
                      <a:ext cx="5638800" cy="899028"/>
                    </a:xfrm>
                    <a:prstGeom prst="rect">
                      <a:avLst/>
                    </a:prstGeom>
                  </pic:spPr>
                </pic:pic>
              </a:graphicData>
            </a:graphic>
          </wp:inline>
        </w:drawing>
      </w:r>
    </w:p>
    <w:p>
      <w:pPr>
        <w:pStyle w:val="Normal"/>
      </w:pPr>
      <w:r>
        <w:t xml:space="preserve">Unexplained dispersion reduces VCS and triggers reconciliation above a metric-specific threshold.</w:t>
      </w:r>
    </w:p>
    <w:p>
      <w:pPr>
        <w:pStyle w:val="Heading2"/>
      </w:pPr>
      <w:r>
        <w:t xml:space="preserve">F.4 Confidence inheritance</w:t>
      </w:r>
    </w:p>
    <w:p>
      <w:pPr>
        <w:pStyle w:val="Normal"/>
      </w:pPr>
      <w:r>
        <w:t xml:space="preserve">A parent index cannot have confidence higher than justified by its material sub-indices. Composite VCS considers all indices and critical dependencies. V-FOREX pair confidence generally inherits the lower network VCS and any additional pair-specific risk.</w:t>
      </w:r>
    </w:p>
    <w:p>
      <w:pPr>
        <w:pStyle w:val="Heading1"/>
        <w:pageBreakBefore/>
      </w:pPr>
      <w:r>
        <w:t xml:space="preserve">Appendix G — Governance Proposal Template</w:t>
      </w:r>
    </w:p>
    <w:p>
      <w:pPr>
        <w:pStyle w:val="Normal"/>
      </w:pPr>
      <w:r>
        <w:t xml:space="preserve">Every formal proposal should contain:</w:t>
      </w:r>
    </w:p>
    <w:p>
      <w:pPr>
        <w:pStyle w:val="ListParagraph"/>
      </w:pPr>
      <w:r>
        <w:t xml:space="preserve">• Title and proposal class</w:t>
      </w:r>
    </w:p>
    <w:p>
      <w:pPr>
        <w:pStyle w:val="ListParagraph"/>
      </w:pPr>
      <w:r>
        <w:t xml:space="preserve">• Author and conflict disclosures</w:t>
      </w:r>
    </w:p>
    <w:p>
      <w:pPr>
        <w:pStyle w:val="ListParagraph"/>
      </w:pPr>
      <w:r>
        <w:t xml:space="preserve">• Problem statement</w:t>
      </w:r>
    </w:p>
    <w:p>
      <w:pPr>
        <w:pStyle w:val="ListParagraph"/>
      </w:pPr>
      <w:r>
        <w:t xml:space="preserve">• Current methodology or system state</w:t>
      </w:r>
    </w:p>
    <w:p>
      <w:pPr>
        <w:pStyle w:val="ListParagraph"/>
      </w:pPr>
      <w:r>
        <w:t xml:space="preserve">• Exact proposed change</w:t>
      </w:r>
    </w:p>
    <w:p>
      <w:pPr>
        <w:pStyle w:val="ListParagraph"/>
      </w:pPr>
      <w:r>
        <w:t xml:space="preserve">• Mathematical and configuration diff</w:t>
      </w:r>
    </w:p>
    <w:p>
      <w:pPr>
        <w:pStyle w:val="ListParagraph"/>
      </w:pPr>
      <w:r>
        <w:t xml:space="preserve">• Affected networks, metrics and dates</w:t>
      </w:r>
    </w:p>
    <w:p>
      <w:pPr>
        <w:pStyle w:val="ListParagraph"/>
      </w:pPr>
      <w:r>
        <w:t xml:space="preserve">• Data and research evidence</w:t>
      </w:r>
    </w:p>
    <w:p>
      <w:pPr>
        <w:pStyle w:val="ListParagraph"/>
      </w:pPr>
      <w:r>
        <w:t xml:space="preserve">• Historical backtest</w:t>
      </w:r>
    </w:p>
    <w:p>
      <w:pPr>
        <w:pStyle w:val="ListParagraph"/>
      </w:pPr>
      <w:r>
        <w:t xml:space="preserve">• Sensitivity and manipulation analysis</w:t>
      </w:r>
    </w:p>
    <w:p>
      <w:pPr>
        <w:pStyle w:val="ListParagraph"/>
      </w:pPr>
      <w:r>
        <w:t xml:space="preserve">• Security and legal implications</w:t>
      </w:r>
    </w:p>
    <w:p>
      <w:pPr>
        <w:pStyle w:val="ListParagraph"/>
      </w:pPr>
      <w:r>
        <w:t xml:space="preserve">• Migration, timelock and rollback</w:t>
      </w:r>
    </w:p>
    <w:p>
      <w:pPr>
        <w:pStyle w:val="ListParagraph"/>
      </w:pPr>
      <w:r>
        <w:t xml:space="preserve">• Plain-language summary</w:t>
      </w:r>
    </w:p>
    <w:p>
      <w:pPr>
        <w:pStyle w:val="ListParagraph"/>
      </w:pPr>
      <w:r>
        <w:t xml:space="preserve">• Reviewer reports</w:t>
      </w:r>
    </w:p>
    <w:p>
      <w:pPr>
        <w:pStyle w:val="ListParagraph"/>
      </w:pPr>
      <w:r>
        <w:t xml:space="preserve">• Vote and execution record</w:t>
      </w:r>
    </w:p>
    <w:p>
      <w:pPr>
        <w:pStyle w:val="Heading1"/>
        <w:pageBreakBefore/>
      </w:pPr>
      <w:r>
        <w:t xml:space="preserve">Appendix H — Public API Reproduction Example</w:t>
      </w:r>
    </w:p>
    <w:p>
      <w:pPr>
        <w:pStyle w:val="Normal"/>
      </w:pPr>
      <w:r>
        <w:t xml:space="preserve">A complete reproduction workflow is:</w:t>
      </w:r>
    </w:p>
    <w:p>
      <w:pPr>
        <w:pStyle w:val="ListParagraph"/>
      </w:pPr>
      <w:r>
        <w:t xml:space="preserve">• request the score snapshot manifest;</w:t>
      </w:r>
    </w:p>
    <w:p>
      <w:pPr>
        <w:pStyle w:val="ListParagraph"/>
      </w:pPr>
      <w:r>
        <w:t xml:space="preserve">• download referenced raw observation packages;</w:t>
      </w:r>
    </w:p>
    <w:p>
      <w:pPr>
        <w:pStyle w:val="ListParagraph"/>
      </w:pPr>
      <w:r>
        <w:t xml:space="preserve">• verify source, query and file hashes;</w:t>
      </w:r>
    </w:p>
    <w:p>
      <w:pPr>
        <w:pStyle w:val="ListParagraph"/>
      </w:pPr>
      <w:r>
        <w:t xml:space="preserve">• check adapter and framework code commits;</w:t>
      </w:r>
    </w:p>
    <w:p>
      <w:pPr>
        <w:pStyle w:val="ListParagraph"/>
      </w:pPr>
      <w:r>
        <w:t xml:space="preserve">• build the published reproducible environment;</w:t>
      </w:r>
    </w:p>
    <w:p>
      <w:pPr>
        <w:pStyle w:val="ListParagraph"/>
      </w:pPr>
      <w:r>
        <w:t xml:space="preserve">• execute transformations and normalisation;</w:t>
      </w:r>
    </w:p>
    <w:p>
      <w:pPr>
        <w:pStyle w:val="ListParagraph"/>
      </w:pPr>
      <w:r>
        <w:t xml:space="preserve">• compare calculated indices and manifests;</w:t>
      </w:r>
    </w:p>
    <w:p>
      <w:pPr>
        <w:pStyle w:val="ListParagraph"/>
      </w:pPr>
      <w:r>
        <w:t xml:space="preserve">• verify signatures and publication timestamp;</w:t>
      </w:r>
    </w:p>
    <w:p>
      <w:pPr>
        <w:pStyle w:val="ListParagraph"/>
      </w:pPr>
      <w:r>
        <w:t xml:space="preserve">• report any mismatch through the dispute endpoint.</w:t>
      </w:r>
    </w:p>
    <w:p>
      <w:pPr>
        <w:pStyle w:val="Normal"/>
      </w:pPr>
      <w:r>
        <w:t xml:space="preserve">A reproduction is successful only when all intermediate and final values agree within the declared precision.</w:t>
      </w:r>
    </w:p>
    <w:p>
      <w:pPr>
        <w:pStyle w:val="Heading1"/>
        <w:pageBreakBefore/>
      </w:pPr>
      <w:r>
        <w:t xml:space="preserve">Appendix I — Comparison with Traditional Economic and Financial Measures</w:t>
      </w:r>
    </w:p>
    <w:p>
      <w:pPr>
        <w:pStyle w:val="Normal"/>
      </w:pPr>
      <w:r>
        <w:t xml:space="preserve">Voxonomics draws analogies to traditional measures but does not claim exact equivalence.</w:t>
      </w:r>
    </w:p>
    <w:tbl>
      <w:tblPr>
        <w:tblStyle w:val="TableGrid"/>
        <w:tblW w:w="9100" w:type="dxa"/>
        <w:tblLayout w:type="autofit"/>
      </w:tblPr>
      <w:tblGrid>
        <w:gridCol w:w="3033"/>
        <w:gridCol w:w="3033"/>
        <w:gridCol w:w="3033"/>
      </w:tblGrid>
      <w:tr>
        <w:trPr>
          <w:cantSplit/>
          <w:tblHeader/>
        </w:trPr>
        <w:tc>
          <w:tcPr>
            <w:tcW w:w="3033" w:type="dxa"/>
          </w:tcPr>
          <w:p>
            <w:pPr>
              <w:pStyle w:val="TableHeader"/>
            </w:pPr>
            <w:r>
              <w:t xml:space="preserve">Traditional concept</w:t>
            </w:r>
          </w:p>
        </w:tc>
        <w:tc>
          <w:tcPr>
            <w:tcW w:w="3033" w:type="dxa"/>
          </w:tcPr>
          <w:p>
            <w:pPr>
              <w:pStyle w:val="TableHeader"/>
            </w:pPr>
            <w:r>
              <w:t xml:space="preserve">Voxonomics analogue</w:t>
            </w:r>
          </w:p>
        </w:tc>
        <w:tc>
          <w:tcPr>
            <w:tcW w:w="3033" w:type="dxa"/>
          </w:tcPr>
          <w:p>
            <w:pPr>
              <w:pStyle w:val="TableHeader"/>
            </w:pPr>
            <w:r>
              <w:t xml:space="preserve">Important difference</w:t>
            </w:r>
          </w:p>
        </w:tc>
      </w:tr>
      <w:tr>
        <w:trPr>
          <w:cantSplit/>
        </w:trPr>
        <w:tc>
          <w:tcPr>
            <w:tcW w:w="3033" w:type="dxa"/>
          </w:tcPr>
          <w:p>
            <w:pPr>
              <w:pStyle w:val="TableText"/>
            </w:pPr>
            <w:r>
              <w:t xml:space="preserve">GDP or economic output</w:t>
            </w:r>
          </w:p>
        </w:tc>
        <w:tc>
          <w:tcPr>
            <w:tcW w:w="3033" w:type="dxa"/>
          </w:tcPr>
          <w:p>
            <w:pPr>
              <w:pStyle w:val="TableText"/>
            </w:pPr>
            <w:r>
              <w:t xml:space="preserve">PoV</w:t>
            </w:r>
          </w:p>
        </w:tc>
        <w:tc>
          <w:tcPr>
            <w:tcW w:w="3033" w:type="dxa"/>
          </w:tcPr>
          <w:p>
            <w:pPr>
              <w:pStyle w:val="TableText"/>
            </w:pPr>
            <w:r>
              <w:t xml:space="preserve">On-chain output is not national production and may include financial rotation</w:t>
            </w:r>
          </w:p>
        </w:tc>
      </w:tr>
      <w:tr>
        <w:trPr>
          <w:cantSplit/>
        </w:trPr>
        <w:tc>
          <w:tcPr>
            <w:tcW w:w="3033" w:type="dxa"/>
          </w:tcPr>
          <w:p>
            <w:pPr>
              <w:pStyle w:val="TableText"/>
            </w:pPr>
            <w:r>
              <w:t xml:space="preserve">Labour-force participation</w:t>
            </w:r>
          </w:p>
        </w:tc>
        <w:tc>
          <w:tcPr>
            <w:tcW w:w="3033" w:type="dxa"/>
          </w:tcPr>
          <w:p>
            <w:pPr>
              <w:pStyle w:val="TableText"/>
            </w:pPr>
            <w:r>
              <w:t xml:space="preserve">OPI</w:t>
            </w:r>
          </w:p>
        </w:tc>
        <w:tc>
          <w:tcPr>
            <w:tcW w:w="3033" w:type="dxa"/>
          </w:tcPr>
          <w:p>
            <w:pPr>
              <w:pStyle w:val="TableText"/>
            </w:pPr>
            <w:r>
              <w:t xml:space="preserve">Participants may use multiple networks and are not citizens</w:t>
            </w:r>
          </w:p>
        </w:tc>
      </w:tr>
      <w:tr>
        <w:trPr>
          <w:cantSplit/>
        </w:trPr>
        <w:tc>
          <w:tcPr>
            <w:tcW w:w="3033" w:type="dxa"/>
          </w:tcPr>
          <w:p>
            <w:pPr>
              <w:pStyle w:val="TableText"/>
            </w:pPr>
            <w:r>
              <w:t xml:space="preserve">Market liquidity and financial depth</w:t>
            </w:r>
          </w:p>
        </w:tc>
        <w:tc>
          <w:tcPr>
            <w:tcW w:w="3033" w:type="dxa"/>
          </w:tcPr>
          <w:p>
            <w:pPr>
              <w:pStyle w:val="TableText"/>
            </w:pPr>
            <w:r>
              <w:t xml:space="preserve">DLI</w:t>
            </w:r>
          </w:p>
        </w:tc>
        <w:tc>
          <w:tcPr>
            <w:tcW w:w="3033" w:type="dxa"/>
          </w:tcPr>
          <w:p>
            <w:pPr>
              <w:pStyle w:val="TableText"/>
            </w:pPr>
            <w:r>
              <w:t xml:space="preserve">Liquidity is programmable, global and exposed to smart-contract risk</w:t>
            </w:r>
          </w:p>
        </w:tc>
      </w:tr>
      <w:tr>
        <w:trPr>
          <w:cantSplit/>
        </w:trPr>
        <w:tc>
          <w:tcPr>
            <w:tcW w:w="3033" w:type="dxa"/>
          </w:tcPr>
          <w:p>
            <w:pPr>
              <w:pStyle w:val="TableText"/>
            </w:pPr>
            <w:r>
              <w:t xml:space="preserve">Institutional quality and credit integrity</w:t>
            </w:r>
          </w:p>
        </w:tc>
        <w:tc>
          <w:tcPr>
            <w:tcW w:w="3033" w:type="dxa"/>
          </w:tcPr>
          <w:p>
            <w:pPr>
              <w:pStyle w:val="TableText"/>
            </w:pPr>
            <w:r>
              <w:t xml:space="preserve">PII</w:t>
            </w:r>
          </w:p>
        </w:tc>
        <w:tc>
          <w:tcPr>
            <w:tcW w:w="3033" w:type="dxa"/>
          </w:tcPr>
          <w:p>
            <w:pPr>
              <w:pStyle w:val="TableText"/>
            </w:pPr>
            <w:r>
              <w:t xml:space="preserve">Protocol rules are technical and decentralisation varies by layer</w:t>
            </w:r>
          </w:p>
        </w:tc>
      </w:tr>
      <w:tr>
        <w:trPr>
          <w:cantSplit/>
        </w:trPr>
        <w:tc>
          <w:tcPr>
            <w:tcW w:w="3033" w:type="dxa"/>
          </w:tcPr>
          <w:p>
            <w:pPr>
              <w:pStyle w:val="TableText"/>
            </w:pPr>
            <w:r>
              <w:t xml:space="preserve">Trade and real-economy integration</w:t>
            </w:r>
          </w:p>
        </w:tc>
        <w:tc>
          <w:tcPr>
            <w:tcW w:w="3033" w:type="dxa"/>
          </w:tcPr>
          <w:p>
            <w:pPr>
              <w:pStyle w:val="TableText"/>
            </w:pPr>
            <w:r>
              <w:t xml:space="preserve">RWAI</w:t>
            </w:r>
          </w:p>
        </w:tc>
        <w:tc>
          <w:tcPr>
            <w:tcW w:w="3033" w:type="dxa"/>
          </w:tcPr>
          <w:p>
            <w:pPr>
              <w:pStyle w:val="TableText"/>
            </w:pPr>
            <w:r>
              <w:t xml:space="preserve">External claims depend on issuers, custody and legal bridges</w:t>
            </w:r>
          </w:p>
        </w:tc>
      </w:tr>
      <w:tr>
        <w:trPr>
          <w:cantSplit/>
        </w:trPr>
        <w:tc>
          <w:tcPr>
            <w:tcW w:w="3033" w:type="dxa"/>
          </w:tcPr>
          <w:p>
            <w:pPr>
              <w:pStyle w:val="TableText"/>
            </w:pPr>
            <w:r>
              <w:t xml:space="preserve">Foreign reserves and shock capacity</w:t>
            </w:r>
          </w:p>
        </w:tc>
        <w:tc>
          <w:tcPr>
            <w:tcW w:w="3033" w:type="dxa"/>
          </w:tcPr>
          <w:p>
            <w:pPr>
              <w:pStyle w:val="TableText"/>
            </w:pPr>
            <w:r>
              <w:t xml:space="preserve">ERI</w:t>
            </w:r>
          </w:p>
        </w:tc>
        <w:tc>
          <w:tcPr>
            <w:tcW w:w="3033" w:type="dxa"/>
          </w:tcPr>
          <w:p>
            <w:pPr>
              <w:pStyle w:val="TableText"/>
            </w:pPr>
            <w:r>
              <w:t xml:space="preserve">Resilience includes code, validators, liquidity and treasury resources</w:t>
            </w:r>
          </w:p>
        </w:tc>
      </w:tr>
      <w:tr>
        <w:trPr>
          <w:cantSplit/>
        </w:trPr>
        <w:tc>
          <w:tcPr>
            <w:tcW w:w="3033" w:type="dxa"/>
          </w:tcPr>
          <w:p>
            <w:pPr>
              <w:pStyle w:val="TableText"/>
            </w:pPr>
            <w:r>
              <w:t xml:space="preserve">Exchange rate</w:t>
            </w:r>
          </w:p>
        </w:tc>
        <w:tc>
          <w:tcPr>
            <w:tcW w:w="3033" w:type="dxa"/>
          </w:tcPr>
          <w:p>
            <w:pPr>
              <w:pStyle w:val="TableText"/>
            </w:pPr>
            <w:r>
              <w:t xml:space="preserve">V-FOREX reference</w:t>
            </w:r>
          </w:p>
        </w:tc>
        <w:tc>
          <w:tcPr>
            <w:tcW w:w="3033" w:type="dxa"/>
          </w:tcPr>
          <w:p>
            <w:pPr>
              <w:pStyle w:val="TableText"/>
            </w:pPr>
            <w:r>
              <w:t xml:space="preserve">A reference ratio is not a sovereign currency market or guaranteed price</w:t>
            </w:r>
          </w:p>
        </w:tc>
      </w:tr>
      <w:tr>
        <w:trPr>
          <w:cantSplit/>
        </w:trPr>
        <w:tc>
          <w:tcPr>
            <w:tcW w:w="3033" w:type="dxa"/>
          </w:tcPr>
          <w:p>
            <w:pPr>
              <w:pStyle w:val="TableText"/>
            </w:pPr>
            <w:r>
              <w:t xml:space="preserve">Credit rating</w:t>
            </w:r>
          </w:p>
        </w:tc>
        <w:tc>
          <w:tcPr>
            <w:tcW w:w="3033" w:type="dxa"/>
          </w:tcPr>
          <w:p>
            <w:pPr>
              <w:pStyle w:val="TableText"/>
            </w:pPr>
            <w:r>
              <w:t xml:space="preserve">VRS/VCS combination</w:t>
            </w:r>
          </w:p>
        </w:tc>
        <w:tc>
          <w:tcPr>
            <w:tcW w:w="3033" w:type="dxa"/>
          </w:tcPr>
          <w:p>
            <w:pPr>
              <w:pStyle w:val="TableText"/>
            </w:pPr>
            <w:r>
              <w:t xml:space="preserve">VRS measures risk; VCS measures evidence quality; neither is a legal rating</w:t>
            </w:r>
          </w:p>
        </w:tc>
      </w:tr>
    </w:tbl>
    <w:p>
      <w:pPr>
        <w:pStyle w:val="Normal"/>
      </w:pPr>
      <w:r>
        <w:t xml:space="preserve">Traditional macroeconomic data can be delayed, revised and institutionally interpreted. Blockchain data can be timely and transparent but may be pseudonymous, economically ambiguous and technically complex. Neither domain is free from measurement error.</w:t>
      </w:r>
    </w:p>
    <w:p>
      <w:pPr>
        <w:pStyle w:val="Heading1"/>
        <w:pageBreakBefore/>
      </w:pPr>
      <w:r>
        <w:t xml:space="preserve">Appendix J — Glossary</w:t>
      </w:r>
    </w:p>
    <w:p>
      <w:pPr>
        <w:pStyle w:val="Normal"/>
      </w:pPr>
      <w:r>
        <w:t xml:space="preserve">Adapter: Chain-specific software and rules that map public data to canonical Voxonomics metric definitions.</w:t>
      </w:r>
    </w:p>
    <w:p>
      <w:pPr>
        <w:pStyle w:val="Normal"/>
      </w:pPr>
      <w:r>
        <w:t xml:space="preserve">Canonical scope: The precise network, execution, settlement and asset boundaries included in a calculation.</w:t>
      </w:r>
    </w:p>
    <w:p>
      <w:pPr>
        <w:pStyle w:val="Normal"/>
      </w:pPr>
      <w:r>
        <w:t xml:space="preserve">DLI: Decentralised Liquidity Index; measurement of executable, diversified and resilient on-chain liquidity.</w:t>
      </w:r>
    </w:p>
    <w:p>
      <w:pPr>
        <w:pStyle w:val="Normal"/>
      </w:pPr>
      <w:r>
        <w:t xml:space="preserve">Economic Reference Unit (ERU): Dynamic benchmark that defines the published 1.000000 reference level.</w:t>
      </w:r>
    </w:p>
    <w:p>
      <w:pPr>
        <w:pStyle w:val="Normal"/>
      </w:pPr>
      <w:r>
        <w:t xml:space="preserve">ERI: Economic Resilience Index; measurement of shock retention and recovery.</w:t>
      </w:r>
    </w:p>
    <w:p>
      <w:pPr>
        <w:pStyle w:val="Normal"/>
      </w:pPr>
      <w:r>
        <w:t xml:space="preserve">Opportunity Gap: Difference between VTS and VRI.</w:t>
      </w:r>
    </w:p>
    <w:p>
      <w:pPr>
        <w:pStyle w:val="Normal"/>
      </w:pPr>
      <w:r>
        <w:t xml:space="preserve">OPI: On-Chain Participation Index; measurement of productive participant breadth and retention.</w:t>
      </w:r>
    </w:p>
    <w:p>
      <w:pPr>
        <w:pStyle w:val="Normal"/>
      </w:pPr>
      <w:r>
        <w:t xml:space="preserve">PII: Protocol Integrity Index; measurement of security, decentralisation, availability and upgrade integrity.</w:t>
      </w:r>
    </w:p>
    <w:p>
      <w:pPr>
        <w:pStyle w:val="Normal"/>
      </w:pPr>
      <w:r>
        <w:t xml:space="preserve">PoV: Proof of Value; measurement of economic output, demand and sustainable value capture.</w:t>
      </w:r>
    </w:p>
    <w:p>
      <w:pPr>
        <w:pStyle w:val="Normal"/>
      </w:pPr>
      <w:r>
        <w:t xml:space="preserve">Publication status: Confidence-based category determining whether a score is official, provisional, experimental or withheld.</w:t>
      </w:r>
    </w:p>
    <w:p>
      <w:pPr>
        <w:pStyle w:val="Normal"/>
      </w:pPr>
      <w:r>
        <w:t xml:space="preserve">RWAI: Real-World Adoption Index; measurement of verifiable external settlement, payments, tokenised assets and adoption.</w:t>
      </w:r>
    </w:p>
    <w:p>
      <w:pPr>
        <w:pStyle w:val="Normal"/>
      </w:pPr>
      <w:r>
        <w:t xml:space="preserve">Value Recognition Index (VRI): Standardised measure of market recognition relative to network fundamentals.</w:t>
      </w:r>
    </w:p>
    <w:p>
      <w:pPr>
        <w:pStyle w:val="Normal"/>
      </w:pPr>
      <w:r>
        <w:t xml:space="preserve">Value Transfer Score (VTS): Equal-weight intrinsic network economic measurement, standardised against ERU.</w:t>
      </w:r>
    </w:p>
    <w:p>
      <w:pPr>
        <w:pStyle w:val="Normal"/>
      </w:pPr>
      <w:r>
        <w:t xml:space="preserve">VOX: Analytical or optionally tokenised network-specific unit indexed to VTS under the Voxonomics standard.</w:t>
      </w:r>
    </w:p>
    <w:p>
      <w:pPr>
        <w:pStyle w:val="Normal"/>
      </w:pPr>
      <w:r>
        <w:t xml:space="preserve">VOX Confidence Score (VCS): Measure of data, source, adapter and model confidence.</w:t>
      </w:r>
    </w:p>
    <w:p>
      <w:pPr>
        <w:pStyle w:val="Normal"/>
      </w:pPr>
      <w:r>
        <w:t xml:space="preserve">VOX DAO: The single decentralised governance system responsible for the global Voxonomics standard.</w:t>
      </w:r>
    </w:p>
    <w:p>
      <w:pPr>
        <w:pStyle w:val="Normal"/>
      </w:pPr>
      <w:r>
        <w:t xml:space="preserve">VOX Risk Score (VRS): Aggregate structural risk score, where a higher value indicates greater risk.</w:t>
      </w:r>
    </w:p>
    <w:p>
      <w:pPr>
        <w:pStyle w:val="Normal"/>
      </w:pPr>
      <w:r>
        <w:t xml:space="preserve">V-FOREX: Cross-network reference and optional market system based on VTS ratios.</w:t>
      </w:r>
    </w:p>
    <w:p>
      <w:pPr>
        <w:pStyle w:val="Normal"/>
      </w:pPr>
      <w:r>
        <w:t xml:space="preserve">Evidence package: Identified bundle or representation of source evidence plus the provenance required to reproduce or verify a canonical observation.</w:t>
      </w:r>
    </w:p>
    <w:p>
      <w:pPr>
        <w:pStyle w:val="Normal"/>
      </w:pPr>
      <w:r>
        <w:t xml:space="preserve">Evidence retirement eligibility: Governed status indicating that a prior evidence representation may be considered for retirement because all required replacement, provenance, reproduction, audit, dispute and policy conditions have been proven. Eligibility does not itself delete evidence.</w:t>
      </w:r>
    </w:p>
    <w:p>
      <w:pPr>
        <w:pStyle w:val="Normal"/>
      </w:pPr>
      <w:r>
        <w:t xml:space="preserve">Reproduction: Re-derivation of an observation, measurement or output from preserved authoritative evidence under declared code and methodology versions.</w:t>
      </w:r>
    </w:p>
    <w:p>
      <w:pPr>
        <w:pStyle w:val="Normal"/>
      </w:pPr>
      <w:r>
        <w:t xml:space="preserve">Verification: Confirmation of identity, integrity, agreement or another declared property; verification does not necessarily recreate the underlying evidence or result.</w:t>
      </w:r>
    </w:p>
    <w:p>
      <w:pPr>
        <w:pStyle w:val="Normal"/>
      </w:pPr>
      <w:r>
        <w:t xml:space="preserve">Vox-in-a-Box: Independently operable Voxonomics data/evidence node capable of one or more collection, preservation, reproduction, verification, replication, challenge or signed-publication roles under the canonical standard.</w:t>
      </w:r>
    </w:p>
    <w:p>
      <w:pPr>
        <w:pStyle w:val="Normal"/>
      </w:pPr>
      <w:r>
        <w:t xml:space="preserve">Semantic equivalence: Property of a replacement evidence representation that preserves all fields, relationships, ordering and provenance required by the canonical method, rather than merely being readable or decompressible.</w:t>
      </w:r>
    </w:p>
    <w:p>
      <w:pPr>
        <w:pStyle w:val="Normal"/>
      </w:pPr>
      <w:r>
        <w:t xml:space="preserve">UNKNOWN reconstructability: Fail-closed evidence state used when safe deterministic reconstruction has not been proven; material in this state is not eligible for retirement.</w:t>
      </w:r>
    </w:p>
    <w:p>
      <w:pPr>
        <w:pStyle w:val="Heading1"/>
        <w:pageBreakBefore/>
      </w:pPr>
      <w:r>
        <w:t xml:space="preserve">Appendix K — References</w:t>
      </w:r>
    </w:p>
    <w:p>
      <w:pPr>
        <w:pStyle w:val="ListParagraph"/>
      </w:pPr>
      <w:r>
        <w:t xml:space="preserve">• Nakamoto, S. Bitcoin: A Peer-to-Peer Electronic Cash System. Bitcoin.org, 2008. https://bitcoin.org/bitcoin.pdf</w:t>
      </w:r>
    </w:p>
    <w:p>
      <w:pPr>
        <w:pStyle w:val="ListParagraph"/>
      </w:pPr>
      <w:r>
        <w:t xml:space="preserve">• Wood, G. Ethereum: A Secure Decentralised Generalised Transaction Ledger — Yellow Paper. Ethereum Project. https://github.com/ethereum/yellowpaper</w:t>
      </w:r>
    </w:p>
    <w:p>
      <w:pPr>
        <w:pStyle w:val="ListParagraph"/>
      </w:pPr>
      <w:r>
        <w:t xml:space="preserve">• DefiLlama. Methodology and Open-Source Adapters. https://docs.llama.fi/ and https://github.com/DefiLlama/DefiLlama-Adapters</w:t>
      </w:r>
    </w:p>
    <w:p>
      <w:pPr>
        <w:pStyle w:val="ListParagraph"/>
      </w:pPr>
      <w:r>
        <w:t xml:space="preserve">• The Graph. Documentation: Subgraphs and Blockchain Data Indexing. https://thegraph.com/docs/</w:t>
      </w:r>
    </w:p>
    <w:p>
      <w:pPr>
        <w:pStyle w:val="ListParagraph"/>
      </w:pPr>
      <w:r>
        <w:t xml:space="preserve">• CoinGecko. API and On-Chain Data Documentation. https://docs.coingecko.com/</w:t>
      </w:r>
    </w:p>
    <w:p>
      <w:pPr>
        <w:pStyle w:val="ListParagraph"/>
      </w:pPr>
      <w:r>
        <w:t xml:space="preserve">• Chainlink. Data Feeds and Decentralised Data Model Documentation. https://docs.chain.link/data-feeds</w:t>
      </w:r>
    </w:p>
    <w:p>
      <w:pPr>
        <w:pStyle w:val="ListParagraph"/>
      </w:pPr>
      <w:r>
        <w:t xml:space="preserve">• Solana Foundation. Solana RPC Methods. https://solana.com/docs/rpc</w:t>
      </w:r>
    </w:p>
    <w:p>
      <w:pPr>
        <w:pStyle w:val="ListParagraph"/>
      </w:pPr>
      <w:r>
        <w:t xml:space="preserve">• Cosmos. Cosmos SDK Documentation. https://docs.cosmos.network/</w:t>
      </w:r>
    </w:p>
    <w:p>
      <w:pPr>
        <w:pStyle w:val="ListParagraph"/>
      </w:pPr>
      <w:r>
        <w:t xml:space="preserve">• Lin, Q., Li, C., Zhao, X. and Chen, X. “Measuring Decentralization in Bitcoin and Ethereum Using Multiple Metrics and Granularities.” 2021 IEEE 37th International Conference on Data Engineering Workshops (ICDEW), pp. 80–87. doi:10.1109/ICDEW53142.2021.00022.</w:t>
      </w:r>
    </w:p>
    <w:p>
      <w:pPr>
        <w:pStyle w:val="ListParagraph"/>
      </w:pPr>
      <w:r>
        <w:t xml:space="preserve">• Ovezik, C., Karakostas, D., Milad, M., Kiayias, A. and Woods, D. W. “SoK: Measuring Blockchain Decentralization.” arXiv:2501.18279, 2025.</w:t>
      </w:r>
    </w:p>
    <w:p>
      <w:pPr>
        <w:pStyle w:val="ListParagraph"/>
      </w:pPr>
      <w:r>
        <w:t xml:space="preserve">• Bank for International Settlements and Committee on Payments and Market Infrastructures. Tokenisation in the Context of Money and Other Assets: Concepts and Implications for Central Banks. CPMI Papers No. 225, October 2024.</w:t>
      </w:r>
    </w:p>
    <w:p>
      <w:pPr>
        <w:pStyle w:val="ListParagraph"/>
      </w:pPr>
      <w:r>
        <w:t xml:space="preserve">• Bank for International Settlements. Annual Economic Report 2026, Chapter III: “Anchoring Trust in Money: Innovation Beyond Stablecoins.” June 2026.</w:t>
      </w:r>
    </w:p>
    <w:p>
      <w:pPr>
        <w:pStyle w:val="ListParagraph"/>
      </w:pPr>
      <w:r>
        <w:t xml:space="preserve">• Adrian, T. and Mancini-Griffoli, T. The Rise of Digital Money. IMF FinTech Note 19/01, International Monetary Fund, 2019.</w:t>
      </w:r>
    </w:p>
    <w:p>
      <w:pPr>
        <w:pStyle w:val="ListParagraph"/>
      </w:pPr>
      <w:r>
        <w:t xml:space="preserve">• Adrian, T., Garratt, R. and He, D. Trust Bridges and Money Flows: A Digital Marketplace to Improve Cross-Border Payments. IMF FinTech Note 2023/001, International Monetary Fund, 2023. doi:10.5089/9798400227073.063.</w:t>
      </w:r>
    </w:p>
    <w:p>
      <w:pPr>
        <w:pStyle w:val="ListParagraph"/>
      </w:pPr>
      <w:r>
        <w:t xml:space="preserve">• National Institute of Standards and Technology. The NIST Cybersecurity Framework (CSF) 2.0, NIST CSWP 29, 2024; and Secure Software Development Framework (SSDF), NIST SP 800-218, 2022.</w:t>
      </w:r>
    </w:p>
    <w:p>
      <w:pPr>
        <w:pStyle w:val="ListParagraph"/>
      </w:pPr>
      <w:r>
        <w:t xml:space="preserve">• International Organization for Standardization. ISO 8000 data-quality standards; ISO 31000:2018 Risk Management — Guidelines; and ISO/IEC 27001:2022 Information Security Management Systems.</w:t>
      </w:r>
    </w:p>
    <w:p>
      <w:pPr>
        <w:pStyle w:val="Normal"/>
      </w:pPr>
      <w:r>
        <w:t xml:space="preserve">References provide technical and economic context. Inclusion does not imply endorsement of Voxonomics by the referenced organisations.</w:t>
      </w:r>
    </w:p>
    <w:p>
      <w:pPr>
        <w:pStyle w:val="Heading2"/>
      </w:pPr>
      <w:r>
        <w:t xml:space="preserve">Macroeconomic references for Edition 3.3</w:t>
      </w:r>
    </w:p>
    <w:p>
      <w:pPr>
        <w:pStyle w:val="Normal"/>
      </w:pPr>
      <w:r>
        <w:t xml:space="preserve">[M1] Bank of England. McLeay, Radia and Thomas, Money creation in the modern economy, Quarterly Bulletin 2014 Q1. https://www.bankofengland.co.uk/quarterly-bulletin/2014/q1/money-creation-in-the-modern-economy</w:t>
      </w:r>
    </w:p>
    <w:p>
      <w:pPr>
        <w:pStyle w:val="Normal"/>
      </w:pPr>
      <w:r>
        <w:t xml:space="preserve">[M2] IMF. Asmundson and Oner, Money at the center of transactions. https://www.imf.org/en/publications/fandd/issues/series/back-to-basics/money</w:t>
      </w:r>
    </w:p>
    <w:p>
      <w:pPr>
        <w:pStyle w:val="Normal"/>
      </w:pPr>
      <w:r>
        <w:t xml:space="preserve">[M3] IMF. Oner, Inflation prices on the rise. https://www.imf.org/en/publications/fandd/issues/series/back-to-basics/inflation</w:t>
      </w:r>
    </w:p>
    <w:p>
      <w:pPr>
        <w:pStyle w:val="Normal"/>
      </w:pPr>
      <w:r>
        <w:t xml:space="preserve">[M4] ONS. Drew, Lewis and McLaren, Chain-linking methods used within the UK National Accounts, 10 October 2016. https://www.ons.gov.uk/economy/nationalaccounts/uksectoraccounts/methodologies/chainlinkingmethodsusedwithintheuknationalaccounts</w:t>
      </w:r>
    </w:p>
    <w:p>
      <w:pPr>
        <w:pStyle w:val="Normal"/>
      </w:pPr>
      <w:r>
        <w:t xml:space="preserve">[M5] BIS. Global liquidity indicators background and interpretation, Quarterly Review March 2015, pp. 20–21. https://www.bis.org/publications/global-liquidity-indicators-background-and-interpretation</w:t>
      </w:r>
    </w:p>
    <w:p>
      <w:pPr>
        <w:pStyle w:val="Normal"/>
      </w:pPr>
      <w:r>
        <w:t xml:space="preserve">[M6] IMF. A Global Picture of Public Wealth, 18 June 2019. https://www.imf.org/en/blogs/articles/2019/06/18/blog-a-global-picture-of-public-wealth</w:t>
      </w:r>
    </w:p>
    <w:p>
      <w:pPr>
        <w:pStyle w:val="Normal"/>
      </w:pPr>
      <w:r>
        <w:t xml:space="preserve">M1–M6 provide macroeconomic context, not validation or endorsement of Voxonomics. The price-versus-fundamentals thesis, blockchain proving-ground rationale and wider ambition are Voxonomics positions. No claim is made that these sources establish VTS as a true-value estimator. Sources checked on 16 October 2026.</w:t>
      </w:r>
    </w:p>
    <w:p>
      <w:pPr>
        <w:pStyle w:val="Heading1"/>
        <w:pageBreakBefore/>
      </w:pPr>
      <w:r>
        <w:t xml:space="preserve">Appendix L — Edition Change Log</w:t>
      </w:r>
    </w:p>
    <w:p>
      <w:pPr>
        <w:pStyle w:val="Normal"/>
      </w:pPr>
      <w:r>
        <w:t xml:space="preserve">Edition 3.1 and Edition 3.2 remain preserved as prior publications. Their change records are retained below, followed by the Edition 3.3 amendment record.</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Area</w:t>
            </w:r>
          </w:p>
        </w:tc>
        <w:tc>
          <w:tcPr>
            <w:tcW w:w="4550" w:type="dxa"/>
          </w:tcPr>
          <w:p>
            <w:pPr>
              <w:pStyle w:val="TableHeader"/>
            </w:pPr>
            <w:r>
              <w:t xml:space="preserve">Edition 3.1 resolution</w:t>
            </w:r>
          </w:p>
        </w:tc>
      </w:tr>
      <w:tr>
        <w:trPr>
          <w:cantSplit/>
        </w:trPr>
        <w:tc>
          <w:tcPr>
            <w:tcW w:w="4550" w:type="dxa"/>
          </w:tcPr>
          <w:p>
            <w:pPr>
              <w:pStyle w:val="TableText"/>
            </w:pPr>
            <w:r>
              <w:t xml:space="preserve">Core indices</w:t>
            </w:r>
          </w:p>
        </w:tc>
        <w:tc>
          <w:tcPr>
            <w:tcW w:w="4550" w:type="dxa"/>
          </w:tcPr>
          <w:p>
            <w:pPr>
              <w:pStyle w:val="TableText"/>
            </w:pPr>
            <w:r>
              <w:t xml:space="preserve">Replaced five-index model with PoV, OPI, DLI, PII, RWAI and ERI</w:t>
            </w:r>
          </w:p>
        </w:tc>
      </w:tr>
      <w:tr>
        <w:trPr>
          <w:cantSplit/>
        </w:trPr>
        <w:tc>
          <w:tcPr>
            <w:tcW w:w="4550" w:type="dxa"/>
          </w:tcPr>
          <w:p>
            <w:pPr>
              <w:pStyle w:val="TableText"/>
            </w:pPr>
            <w:r>
              <w:t xml:space="preserve">Parent weights</w:t>
            </w:r>
          </w:p>
        </w:tc>
        <w:tc>
          <w:tcPr>
            <w:tcW w:w="4550" w:type="dxa"/>
          </w:tcPr>
          <w:p>
            <w:pPr>
              <w:pStyle w:val="TableText"/>
            </w:pPr>
            <w:r>
              <w:t xml:space="preserve">Fixed all six parent indices at equal weight</w:t>
            </w:r>
          </w:p>
        </w:tc>
      </w:tr>
      <w:tr>
        <w:trPr>
          <w:cantSplit/>
        </w:trPr>
        <w:tc>
          <w:tcPr>
            <w:tcW w:w="4550" w:type="dxa"/>
          </w:tcPr>
          <w:p>
            <w:pPr>
              <w:pStyle w:val="TableText"/>
            </w:pPr>
            <w:r>
              <w:t xml:space="preserve">PTI</w:t>
            </w:r>
          </w:p>
        </w:tc>
        <w:tc>
          <w:tcPr>
            <w:tcW w:w="4550" w:type="dxa"/>
          </w:tcPr>
          <w:p>
            <w:pPr>
              <w:pStyle w:val="TableText"/>
            </w:pPr>
            <w:r>
              <w:t xml:space="preserve">Replaced subjective Public Trust Index with objective Protocol Integrity Index</w:t>
            </w:r>
          </w:p>
        </w:tc>
      </w:tr>
      <w:tr>
        <w:trPr>
          <w:cantSplit/>
        </w:trPr>
        <w:tc>
          <w:tcPr>
            <w:tcW w:w="4550" w:type="dxa"/>
          </w:tcPr>
          <w:p>
            <w:pPr>
              <w:pStyle w:val="TableText"/>
            </w:pPr>
            <w:r>
              <w:t xml:space="preserve">RWAI</w:t>
            </w:r>
          </w:p>
        </w:tc>
        <w:tc>
          <w:tcPr>
            <w:tcW w:w="4550" w:type="dxa"/>
          </w:tcPr>
          <w:p>
            <w:pPr>
              <w:pStyle w:val="TableText"/>
            </w:pPr>
            <w:r>
              <w:t xml:space="preserve">Expanded from real-world assets to real-world adoption and verification</w:t>
            </w:r>
          </w:p>
        </w:tc>
      </w:tr>
      <w:tr>
        <w:trPr>
          <w:cantSplit/>
        </w:trPr>
        <w:tc>
          <w:tcPr>
            <w:tcW w:w="4550" w:type="dxa"/>
          </w:tcPr>
          <w:p>
            <w:pPr>
              <w:pStyle w:val="TableText"/>
            </w:pPr>
            <w:r>
              <w:t xml:space="preserve">Resilience</w:t>
            </w:r>
          </w:p>
        </w:tc>
        <w:tc>
          <w:tcPr>
            <w:tcW w:w="4550" w:type="dxa"/>
          </w:tcPr>
          <w:p>
            <w:pPr>
              <w:pStyle w:val="TableText"/>
            </w:pPr>
            <w:r>
              <w:t xml:space="preserve">Added ERI as a core equal-weight dimension</w:t>
            </w:r>
          </w:p>
        </w:tc>
      </w:tr>
      <w:tr>
        <w:trPr>
          <w:cantSplit/>
        </w:trPr>
        <w:tc>
          <w:tcPr>
            <w:tcW w:w="4550" w:type="dxa"/>
          </w:tcPr>
          <w:p>
            <w:pPr>
              <w:pStyle w:val="TableText"/>
            </w:pPr>
            <w:r>
              <w:t xml:space="preserve">Reference scale</w:t>
            </w:r>
          </w:p>
        </w:tc>
        <w:tc>
          <w:tcPr>
            <w:tcW w:w="4550" w:type="dxa"/>
          </w:tcPr>
          <w:p>
            <w:pPr>
              <w:pStyle w:val="TableText"/>
            </w:pPr>
            <w:r>
              <w:t xml:space="preserve">Added dynamic ERU at 1.000000; VTS may exceed one</w:t>
            </w:r>
          </w:p>
        </w:tc>
      </w:tr>
      <w:tr>
        <w:trPr>
          <w:cantSplit/>
        </w:trPr>
        <w:tc>
          <w:tcPr>
            <w:tcW w:w="4550" w:type="dxa"/>
          </w:tcPr>
          <w:p>
            <w:pPr>
              <w:pStyle w:val="TableText"/>
            </w:pPr>
            <w:r>
              <w:t xml:space="preserve">Market separation</w:t>
            </w:r>
          </w:p>
        </w:tc>
        <w:tc>
          <w:tcPr>
            <w:tcW w:w="4550" w:type="dxa"/>
          </w:tcPr>
          <w:p>
            <w:pPr>
              <w:pStyle w:val="TableText"/>
            </w:pPr>
            <w:r>
              <w:t xml:space="preserve">Added VRI and Opportunity Gap outside VTS</w:t>
            </w:r>
          </w:p>
        </w:tc>
      </w:tr>
      <w:tr>
        <w:trPr>
          <w:cantSplit/>
        </w:trPr>
        <w:tc>
          <w:tcPr>
            <w:tcW w:w="4550" w:type="dxa"/>
          </w:tcPr>
          <w:p>
            <w:pPr>
              <w:pStyle w:val="TableText"/>
            </w:pPr>
            <w:r>
              <w:t xml:space="preserve">Risk and confidence</w:t>
            </w:r>
          </w:p>
        </w:tc>
        <w:tc>
          <w:tcPr>
            <w:tcW w:w="4550" w:type="dxa"/>
          </w:tcPr>
          <w:p>
            <w:pPr>
              <w:pStyle w:val="TableText"/>
            </w:pPr>
            <w:r>
              <w:t xml:space="preserve">Added VRS and VCS as independent analytical outputs</w:t>
            </w:r>
          </w:p>
        </w:tc>
      </w:tr>
      <w:tr>
        <w:trPr>
          <w:cantSplit/>
        </w:trPr>
        <w:tc>
          <w:tcPr>
            <w:tcW w:w="4550" w:type="dxa"/>
          </w:tcPr>
          <w:p>
            <w:pPr>
              <w:pStyle w:val="TableText"/>
            </w:pPr>
            <w:r>
              <w:t xml:space="preserve">Missing data</w:t>
            </w:r>
          </w:p>
        </w:tc>
        <w:tc>
          <w:tcPr>
            <w:tcW w:w="4550" w:type="dxa"/>
          </w:tcPr>
          <w:p>
            <w:pPr>
              <w:pStyle w:val="TableText"/>
            </w:pPr>
            <w:r>
              <w:t xml:space="preserve">Removed arbitrary neutral values; added coverage and publication rules</w:t>
            </w:r>
          </w:p>
        </w:tc>
      </w:tr>
      <w:tr>
        <w:trPr>
          <w:cantSplit/>
        </w:trPr>
        <w:tc>
          <w:tcPr>
            <w:tcW w:w="4550" w:type="dxa"/>
          </w:tcPr>
          <w:p>
            <w:pPr>
              <w:pStyle w:val="TableText"/>
            </w:pPr>
            <w:r>
              <w:t xml:space="preserve">Universality</w:t>
            </w:r>
          </w:p>
        </w:tc>
        <w:tc>
          <w:tcPr>
            <w:tcW w:w="4550" w:type="dxa"/>
          </w:tcPr>
          <w:p>
            <w:pPr>
              <w:pStyle w:val="TableText"/>
            </w:pPr>
            <w:r>
              <w:t xml:space="preserve">Defined universal economic concepts with chain-specific adapters</w:t>
            </w:r>
          </w:p>
        </w:tc>
      </w:tr>
      <w:tr>
        <w:trPr>
          <w:cantSplit/>
        </w:trPr>
        <w:tc>
          <w:tcPr>
            <w:tcW w:w="4550" w:type="dxa"/>
          </w:tcPr>
          <w:p>
            <w:pPr>
              <w:pStyle w:val="TableText"/>
            </w:pPr>
            <w:r>
              <w:t xml:space="preserve">DLI circularity</w:t>
            </w:r>
          </w:p>
        </w:tc>
        <w:tc>
          <w:tcPr>
            <w:tcW w:w="4550" w:type="dxa"/>
          </w:tcPr>
          <w:p>
            <w:pPr>
              <w:pStyle w:val="TableText"/>
            </w:pPr>
            <w:r>
              <w:t xml:space="preserve">Removed VOX liquidity from the VTS liquidity calculation</w:t>
            </w:r>
          </w:p>
        </w:tc>
      </w:tr>
      <w:tr>
        <w:trPr>
          <w:cantSplit/>
        </w:trPr>
        <w:tc>
          <w:tcPr>
            <w:tcW w:w="4550" w:type="dxa"/>
          </w:tcPr>
          <w:p>
            <w:pPr>
              <w:pStyle w:val="TableText"/>
            </w:pPr>
            <w:r>
              <w:t xml:space="preserve">V-FOREX</w:t>
            </w:r>
          </w:p>
        </w:tc>
        <w:tc>
          <w:tcPr>
            <w:tcW w:w="4550" w:type="dxa"/>
          </w:tcPr>
          <w:p>
            <w:pPr>
              <w:pStyle w:val="TableText"/>
            </w:pPr>
            <w:r>
              <w:t xml:space="preserve">Defined VTS ratio as a reference rate, not guaranteed market price</w:t>
            </w:r>
          </w:p>
        </w:tc>
      </w:tr>
      <w:tr>
        <w:trPr>
          <w:cantSplit/>
        </w:trPr>
        <w:tc>
          <w:tcPr>
            <w:tcW w:w="4550" w:type="dxa"/>
          </w:tcPr>
          <w:p>
            <w:pPr>
              <w:pStyle w:val="TableText"/>
            </w:pPr>
            <w:r>
              <w:t xml:space="preserve">VOX supply</w:t>
            </w:r>
          </w:p>
        </w:tc>
        <w:tc>
          <w:tcPr>
            <w:tcW w:w="4550" w:type="dxa"/>
          </w:tcPr>
          <w:p>
            <w:pPr>
              <w:pStyle w:val="TableText"/>
            </w:pPr>
            <w:r>
              <w:t xml:space="preserve">Replaced arbitrary chain caps; added universal parameters and explicit contraction</w:t>
            </w:r>
          </w:p>
        </w:tc>
      </w:tr>
      <w:tr>
        <w:trPr>
          <w:cantSplit/>
        </w:trPr>
        <w:tc>
          <w:tcPr>
            <w:tcW w:w="4550" w:type="dxa"/>
          </w:tcPr>
          <w:p>
            <w:pPr>
              <w:pStyle w:val="TableText"/>
            </w:pPr>
            <w:r>
              <w:t xml:space="preserve">Permission model</w:t>
            </w:r>
          </w:p>
        </w:tc>
        <w:tc>
          <w:tcPr>
            <w:tcW w:w="4550" w:type="dxa"/>
          </w:tcPr>
          <w:p>
            <w:pPr>
              <w:pStyle w:val="TableText"/>
            </w:pPr>
            <w:r>
              <w:t xml:space="preserve">Clarified that public networks may be measured without approval</w:t>
            </w:r>
          </w:p>
        </w:tc>
      </w:tr>
      <w:tr>
        <w:trPr>
          <w:cantSplit/>
        </w:trPr>
        <w:tc>
          <w:tcPr>
            <w:tcW w:w="4550" w:type="dxa"/>
          </w:tcPr>
          <w:p>
            <w:pPr>
              <w:pStyle w:val="TableText"/>
            </w:pPr>
            <w:r>
              <w:t xml:space="preserve">Governance</w:t>
            </w:r>
          </w:p>
        </w:tc>
        <w:tc>
          <w:tcPr>
            <w:tcW w:w="4550" w:type="dxa"/>
          </w:tcPr>
          <w:p>
            <w:pPr>
              <w:pStyle w:val="TableText"/>
            </w:pPr>
            <w:r>
              <w:t xml:space="preserve">Defined one DAO with constitutional limits, versioning and disputes</w:t>
            </w:r>
          </w:p>
        </w:tc>
      </w:tr>
      <w:tr>
        <w:trPr>
          <w:cantSplit/>
        </w:trPr>
        <w:tc>
          <w:tcPr>
            <w:tcW w:w="4550" w:type="dxa"/>
          </w:tcPr>
          <w:p>
            <w:pPr>
              <w:pStyle w:val="TableText"/>
            </w:pPr>
            <w:r>
              <w:t xml:space="preserve">Data architecture</w:t>
            </w:r>
          </w:p>
        </w:tc>
        <w:tc>
          <w:tcPr>
            <w:tcW w:w="4550" w:type="dxa"/>
          </w:tcPr>
          <w:p>
            <w:pPr>
              <w:pStyle w:val="TableText"/>
            </w:pPr>
            <w:r>
              <w:t xml:space="preserve">Added provenance, source hierarchy, adapter standard and API</w:t>
            </w:r>
          </w:p>
        </w:tc>
      </w:tr>
      <w:tr>
        <w:trPr>
          <w:cantSplit/>
        </w:trPr>
        <w:tc>
          <w:tcPr>
            <w:tcW w:w="4550" w:type="dxa"/>
          </w:tcPr>
          <w:p>
            <w:pPr>
              <w:pStyle w:val="TableText"/>
            </w:pPr>
            <w:r>
              <w:t xml:space="preserve">Validation</w:t>
            </w:r>
          </w:p>
        </w:tc>
        <w:tc>
          <w:tcPr>
            <w:tcW w:w="4550" w:type="dxa"/>
          </w:tcPr>
          <w:p>
            <w:pPr>
              <w:pStyle w:val="TableText"/>
            </w:pPr>
            <w:r>
              <w:t xml:space="preserve">Added testing, event studies, manipulation resistance and limitations</w:t>
            </w:r>
          </w:p>
        </w:tc>
      </w:tr>
      <w:tr>
        <w:trPr>
          <w:cantSplit/>
        </w:trPr>
        <w:tc>
          <w:tcPr>
            <w:tcW w:w="4550" w:type="dxa"/>
          </w:tcPr>
          <w:p>
            <w:pPr>
              <w:pStyle w:val="TableText"/>
            </w:pPr>
            <w:r>
              <w:t xml:space="preserve">Presentation</w:t>
            </w:r>
          </w:p>
        </w:tc>
        <w:tc>
          <w:tcPr>
            <w:tcW w:w="4550" w:type="dxa"/>
          </w:tcPr>
          <w:p>
            <w:pPr>
              <w:pStyle w:val="TableText"/>
            </w:pPr>
            <w:r>
              <w:t xml:space="preserve">Rebuilt equations as publication-safe mathematical renderings; corrected contents hierarchy, pagination, navigation and final-page quality assurance.</w:t>
            </w:r>
          </w:p>
        </w:tc>
      </w:tr>
    </w:tbl>
    <w:p>
      <w:pPr>
        <w:pStyle w:val="Heading2"/>
      </w:pPr>
      <w:r>
        <w:t xml:space="preserve">L.2 Edition 3.2 change log</w:t>
      </w:r>
    </w:p>
    <w:p>
      <w:pPr>
        <w:pStyle w:val="Normal"/>
      </w:pPr>
      <w:r>
        <w:t xml:space="preserve">Edition 3.2 preserves the Edition 3.1 economic constitution and adds the evidence and node architecture required for operational verifiability.</w:t>
      </w:r>
    </w:p>
    <w:tbl>
      <w:tblPr>
        <w:tblStyle w:val="TableGrid"/>
        <w:tblW w:w="9100" w:type="dxa"/>
        <w:tblLayout w:type="autofit"/>
      </w:tblPr>
      <w:tblGrid>
        <w:gridCol w:w="4550"/>
        <w:gridCol w:w="4550"/>
      </w:tblGrid>
      <w:tr>
        <w:trPr>
          <w:cantSplit/>
          <w:tblHeader/>
        </w:trPr>
        <w:tc>
          <w:tcPr>
            <w:tcW w:w="4550" w:type="dxa"/>
          </w:tcPr>
          <w:p>
            <w:pPr>
              <w:pStyle w:val="TableHeader"/>
            </w:pPr>
            <w:r>
              <w:t xml:space="preserve">Area</w:t>
            </w:r>
          </w:p>
        </w:tc>
        <w:tc>
          <w:tcPr>
            <w:tcW w:w="4550" w:type="dxa"/>
          </w:tcPr>
          <w:p>
            <w:pPr>
              <w:pStyle w:val="TableHeader"/>
            </w:pPr>
            <w:r>
              <w:t xml:space="preserve">Edition 3.2 change</w:t>
            </w:r>
          </w:p>
        </w:tc>
      </w:tr>
      <w:tr>
        <w:trPr>
          <w:cantSplit/>
        </w:trPr>
        <w:tc>
          <w:tcPr>
            <w:tcW w:w="4550" w:type="dxa"/>
          </w:tcPr>
          <w:p>
            <w:pPr>
              <w:pStyle w:val="TableText"/>
            </w:pPr>
            <w:r>
              <w:t xml:space="preserve">Economic methodology</w:t>
            </w:r>
          </w:p>
        </w:tc>
        <w:tc>
          <w:tcPr>
            <w:tcW w:w="4550" w:type="dxa"/>
          </w:tcPr>
          <w:p>
            <w:pPr>
              <w:pStyle w:val="TableText"/>
            </w:pPr>
            <w:r>
              <w:t xml:space="preserve">No change to the six parent indices, thirty canonical submetrics, parent weights, VTS, ERU, VRI, Opportunity Gap, VRS or VCS methodology</w:t>
            </w:r>
          </w:p>
        </w:tc>
      </w:tr>
      <w:tr>
        <w:trPr>
          <w:cantSplit/>
        </w:trPr>
        <w:tc>
          <w:tcPr>
            <w:tcW w:w="4550" w:type="dxa"/>
          </w:tcPr>
          <w:p>
            <w:pPr>
              <w:pStyle w:val="TableText"/>
            </w:pPr>
            <w:r>
              <w:t xml:space="preserve">Evidence chain</w:t>
            </w:r>
          </w:p>
        </w:tc>
        <w:tc>
          <w:tcPr>
            <w:tcW w:w="4550" w:type="dxa"/>
          </w:tcPr>
          <w:p>
            <w:pPr>
              <w:pStyle w:val="TableText"/>
            </w:pPr>
            <w:r>
              <w:t xml:space="preserve">Formalised forward production and reverse audit chain to authoritative source evidence</w:t>
            </w:r>
          </w:p>
        </w:tc>
      </w:tr>
      <w:tr>
        <w:trPr>
          <w:cantSplit/>
        </w:trPr>
        <w:tc>
          <w:tcPr>
            <w:tcW w:w="4550" w:type="dxa"/>
          </w:tcPr>
          <w:p>
            <w:pPr>
              <w:pStyle w:val="TableText"/>
            </w:pPr>
            <w:r>
              <w:t xml:space="preserve">External evidence</w:t>
            </w:r>
          </w:p>
        </w:tc>
        <w:tc>
          <w:tcPr>
            <w:tcW w:w="4550" w:type="dxa"/>
          </w:tcPr>
          <w:p>
            <w:pPr>
              <w:pStyle w:val="TableText"/>
            </w:pPr>
            <w:r>
              <w:t xml:space="preserve">Clarified that authoritative external evidence is valid where the metric requires it; not every canonical input is literally on-chain</w:t>
            </w:r>
          </w:p>
        </w:tc>
      </w:tr>
      <w:tr>
        <w:trPr>
          <w:cantSplit/>
        </w:trPr>
        <w:tc>
          <w:tcPr>
            <w:tcW w:w="4550" w:type="dxa"/>
          </w:tcPr>
          <w:p>
            <w:pPr>
              <w:pStyle w:val="TableText"/>
            </w:pPr>
            <w:r>
              <w:t xml:space="preserve">Storage lifecycle</w:t>
            </w:r>
          </w:p>
        </w:tc>
        <w:tc>
          <w:tcPr>
            <w:tcW w:w="4550" w:type="dxa"/>
          </w:tcPr>
          <w:p>
            <w:pPr>
              <w:pStyle w:val="TableText"/>
            </w:pPr>
            <w:r>
              <w:t xml:space="preserve">Added STAGE → SEAL → VERIFY → RELEASE governance</w:t>
            </w:r>
          </w:p>
        </w:tc>
      </w:tr>
      <w:tr>
        <w:trPr>
          <w:cantSplit/>
        </w:trPr>
        <w:tc>
          <w:tcPr>
            <w:tcW w:w="4550" w:type="dxa"/>
          </w:tcPr>
          <w:p>
            <w:pPr>
              <w:pStyle w:val="TableText"/>
            </w:pPr>
            <w:r>
              <w:t xml:space="preserve">Evidence retirement</w:t>
            </w:r>
          </w:p>
        </w:tc>
        <w:tc>
          <w:tcPr>
            <w:tcW w:w="4550" w:type="dxa"/>
          </w:tcPr>
          <w:p>
            <w:pPr>
              <w:pStyle w:val="TableText"/>
            </w:pPr>
            <w:r>
              <w:t xml:space="preserve">Added fail-closed item/range-level evidence retirement eligibility; no age-only deletion</w:t>
            </w:r>
          </w:p>
        </w:tc>
      </w:tr>
      <w:tr>
        <w:trPr>
          <w:cantSplit/>
        </w:trPr>
        <w:tc>
          <w:tcPr>
            <w:tcW w:w="4550" w:type="dxa"/>
          </w:tcPr>
          <w:p>
            <w:pPr>
              <w:pStyle w:val="TableText"/>
            </w:pPr>
            <w:r>
              <w:t xml:space="preserve">Reproduction vs verification</w:t>
            </w:r>
          </w:p>
        </w:tc>
        <w:tc>
          <w:tcPr>
            <w:tcW w:w="4550" w:type="dxa"/>
          </w:tcPr>
          <w:p>
            <w:pPr>
              <w:pStyle w:val="TableText"/>
            </w:pPr>
            <w:r>
              <w:t xml:space="preserve">Clarified that hashes verify independently held bytes but cannot reproduce missing evidence</w:t>
            </w:r>
          </w:p>
        </w:tc>
      </w:tr>
      <w:tr>
        <w:trPr>
          <w:cantSplit/>
        </w:trPr>
        <w:tc>
          <w:tcPr>
            <w:tcW w:w="4550" w:type="dxa"/>
          </w:tcPr>
          <w:p>
            <w:pPr>
              <w:pStyle w:val="TableText"/>
            </w:pPr>
            <w:r>
              <w:t xml:space="preserve">Reconstructability</w:t>
            </w:r>
          </w:p>
        </w:tc>
        <w:tc>
          <w:tcPr>
            <w:tcW w:w="4550" w:type="dxa"/>
          </w:tcPr>
          <w:p>
            <w:pPr>
              <w:pStyle w:val="TableText"/>
            </w:pPr>
            <w:r>
              <w:t xml:space="preserve">Added direct, verified replacement, deterministic derived, staged, irreplaceable and UNKNOWN classes</w:t>
            </w:r>
          </w:p>
        </w:tc>
      </w:tr>
      <w:tr>
        <w:trPr>
          <w:cantSplit/>
        </w:trPr>
        <w:tc>
          <w:tcPr>
            <w:tcW w:w="4550" w:type="dxa"/>
          </w:tcPr>
          <w:p>
            <w:pPr>
              <w:pStyle w:val="TableText"/>
            </w:pPr>
            <w:r>
              <w:t xml:space="preserve">Completeness</w:t>
            </w:r>
          </w:p>
        </w:tc>
        <w:tc>
          <w:tcPr>
            <w:tcW w:w="4550" w:type="dxa"/>
          </w:tcPr>
          <w:p>
            <w:pPr>
              <w:pStyle w:val="TableText"/>
            </w:pPr>
            <w:r>
              <w:t xml:space="preserve">Required honest compatible-population denominators for logical journals and sealed part sets</w:t>
            </w:r>
          </w:p>
        </w:tc>
      </w:tr>
      <w:tr>
        <w:trPr>
          <w:cantSplit/>
        </w:trPr>
        <w:tc>
          <w:tcPr>
            <w:tcW w:w="4550" w:type="dxa"/>
          </w:tcPr>
          <w:p>
            <w:pPr>
              <w:pStyle w:val="TableText"/>
            </w:pPr>
            <w:r>
              <w:t xml:space="preserve">Vox-in-a-Box</w:t>
            </w:r>
          </w:p>
        </w:tc>
        <w:tc>
          <w:tcPr>
            <w:tcW w:w="4550" w:type="dxa"/>
          </w:tcPr>
          <w:p>
            <w:pPr>
              <w:pStyle w:val="TableText"/>
            </w:pPr>
            <w:r>
              <w:t xml:space="preserve">Defined independent data/evidence node roles and methodology boundary</w:t>
            </w:r>
          </w:p>
        </w:tc>
      </w:tr>
      <w:tr>
        <w:trPr>
          <w:cantSplit/>
        </w:trPr>
        <w:tc>
          <w:tcPr>
            <w:tcW w:w="4550" w:type="dxa"/>
          </w:tcPr>
          <w:p>
            <w:pPr>
              <w:pStyle w:val="TableText"/>
            </w:pPr>
            <w:r>
              <w:t xml:space="preserve">Replication and disagreement</w:t>
            </w:r>
          </w:p>
        </w:tc>
        <w:tc>
          <w:tcPr>
            <w:tcW w:w="4550" w:type="dxa"/>
          </w:tcPr>
          <w:p>
            <w:pPr>
              <w:pStyle w:val="TableText"/>
            </w:pPr>
            <w:r>
              <w:t xml:space="preserve">Added selective replication, independence taxonomy, challenge and non-majoritarian reconciliation</w:t>
            </w:r>
          </w:p>
        </w:tc>
      </w:tr>
      <w:tr>
        <w:trPr>
          <w:cantSplit/>
        </w:trPr>
        <w:tc>
          <w:tcPr>
            <w:tcW w:w="4550" w:type="dxa"/>
          </w:tcPr>
          <w:p>
            <w:pPr>
              <w:pStyle w:val="TableText"/>
            </w:pPr>
            <w:r>
              <w:t xml:space="preserve">Hosted platform security</w:t>
            </w:r>
          </w:p>
        </w:tc>
        <w:tc>
          <w:tcPr>
            <w:tcW w:w="4550" w:type="dxa"/>
          </w:tcPr>
          <w:p>
            <w:pPr>
              <w:pStyle w:val="TableText"/>
            </w:pPr>
            <w:r>
              <w:t xml:space="preserve">Separated read-only public API/dashboard from collector write, evidence mutation, admin credentials and signing authority</w:t>
            </w:r>
          </w:p>
        </w:tc>
      </w:tr>
      <w:tr>
        <w:trPr>
          <w:cantSplit/>
        </w:trPr>
        <w:tc>
          <w:tcPr>
            <w:tcW w:w="4550" w:type="dxa"/>
          </w:tcPr>
          <w:p>
            <w:pPr>
              <w:pStyle w:val="TableText"/>
            </w:pPr>
            <w:r>
              <w:t xml:space="preserve">AI transparency</w:t>
            </w:r>
          </w:p>
        </w:tc>
        <w:tc>
          <w:tcPr>
            <w:tcW w:w="4550" w:type="dxa"/>
          </w:tcPr>
          <w:p>
            <w:pPr>
              <w:pStyle w:val="TableText"/>
            </w:pPr>
            <w:r>
              <w:t xml:space="preserve">Disclosed AI-assisted development and clarified that it is not methodological authority or independent audit</w:t>
            </w:r>
          </w:p>
        </w:tc>
      </w:tr>
    </w:tbl>
    <w:p>
      <w:pPr>
        <w:pStyle w:val="Heading2"/>
      </w:pPr>
      <w:r>
        <w:t xml:space="preserve">L.3 Edition 3.3 change log</w:t>
      </w:r>
    </w:p>
    <w:p>
      <w:pPr>
        <w:pStyle w:val="Normal"/>
      </w:pPr>
      <w:r>
        <w:t xml:space="preserve">Published 16 October 2026. Macroeconomic Thesis and Scope Clarification. Approved for publication by Dave on 16 October 2026.</w:t>
      </w:r>
    </w:p>
    <w:p>
      <w:pPr>
        <w:pStyle w:val="Normal"/>
      </w:pPr>
      <w:r>
        <w:t xml:space="preserve">Changed: cover subtitle and date, Publication Notice status and final-edition explanation, running headers, document metadata and closing edition label. Added: Edition 3.3 Change Statement; one Abstract paragraph; Executive Summary subsection “Macroeconomic context and scope”; Sections 1.6–1.10; Appendix K macroeconomic references M1–M6; and this L.3 record. Existing Edition 3.2 change statement and L.2 record remain intact.</w:t>
      </w:r>
    </w:p>
    <w:p>
      <w:pPr>
        <w:pStyle w:val="Normal"/>
      </w:pPr>
      <w:r>
        <w:t xml:space="preserve">Purpose: explain the distinction between monetary price and measured economic fundamentals; distinguish monetary and accounting concepts; identify public blockchains as the first proving ground; and bound the longer-term ambition to separate domain-specific canonical frameworks.</w:t>
      </w:r>
    </w:p>
    <w:p>
      <w:pPr>
        <w:pStyle w:val="Normal"/>
      </w:pPr>
      <w:r>
        <w:t xml:space="preserve">Unchanged: all existing mathematical specifications, 36 tables, figures, six parent indices, 30 canonical submetrics, equal parent weights, VTS/ERU/VRI/Opportunity Gap/VRS/VCS definitions, benchmark and missing-data rules, collector architecture, certification logic, evidence architecture and Vox-in-a-Box architecture. Existing section and appendix numbers are retained.</w:t>
      </w:r>
    </w:p>
    <w:p>
      <w:pPr>
        <w:pStyle w:val="Normal"/>
      </w:pPr>
      <w:r>
        <w:t xml:space="preserve">Migration and impact: explanatory text only. No data migration, historical recalculation, runtime change, benchmark change, metric redefinition or collector development is required or authorised. Edition 3.3 carries forward Edition 3.2 without recalculation and supplies no new official result or implementation certification.</w:t>
      </w:r>
    </w:p>
    <w:p>
      <w:pPr>
        <w:pStyle w:val="Normal"/>
      </w:pPr>
      <w:r>
        <w:t xml:space="preserve">Publication record: Dave approved the audited Edition 3.3 text for finalisation and public distribution on 16 October 2026. Edition 3.2 remains preserved as the prior Final Publication Edition.</w:t>
      </w:r>
    </w:p>
    <w:p>
      <w:pPr>
        <w:pStyle w:val="Normal"/>
      </w:pPr>
      <w:r>
        <w:t xml:space="preserve">End of Edition 3.3</w:t>
      </w:r>
    </w:p>
    <w:p>
      <w:pPr>
        <w:pStyle w:val="Normal"/>
      </w:pPr>
      <w:r>
        <w:t>Edition 3.4 — Final Publication Edition, 27 October 2026: Phase-1 engineering cohort updated to Ethereum, Avalanche C-Chain, BNB Smart Chain and TRON (Solana paused). Chapters 36 and 40 clarify the new cohort and distributed evidence-node scope; new Chapter 43A records the network-specific acquisition and qualification requirements. Editions 3.1, 3.2 and 3.3 economic, evidence and macroeconomic definitions are retained without changing historical calculations. Collector certification and official scoring remain separately governed.</w:t>
      </w:r>
    </w:p>
    <w:sectPr>
      <w:pgSz w:w="11906" w:h="16838"/>
      <w:pgMar w:top="1160" w:right="1160" w:bottom="1160" w:left="1160" w:header="500" w:footer="500" w:gutter="0"/>
    </w:sectPr>
  </w:body>
</w:document>
</file>

<file path=word/styles.xml><?xml version="1.0" encoding="utf-8"?>
<w:styles xmlns:w="http://schemas.openxmlformats.org/wordprocessingml/2006/main">
  <w:docDefaults>
    <w:rPrDefault>
      <w:rPr>
        <w:rFonts w:ascii="Aptos" w:hAnsi="Aptos"/>
        <w:sz w:val="20"/>
      </w:rPr>
    </w:rPrDefault>
    <w:pPrDefault>
      <w:pPr>
        <w:spacing w:after="100" w:line="290" w:lineRule="auto"/>
      </w:pPr>
    </w:pPrDefault>
  </w:docDefaults>
  <w:style w:type="paragraph" w:styleId="Normal" w:default="1">
    <w:name w:val="Normal"/>
  </w:style>
  <w:style w:type="paragraph" w:styleId="Heading1">
    <w:name w:val="heading 1"/>
    <w:basedOn w:val="Normal"/>
    <w:pPr>
      <w:keepNext/>
      <w:spacing w:before="340" w:after="170"/>
    </w:pPr>
    <w:rPr>
      <w:b/>
      <w:color w:val="1C4B39"/>
      <w:sz w:val="36"/>
    </w:rPr>
  </w:style>
  <w:style w:type="paragraph" w:styleId="Heading2">
    <w:name w:val="heading 2"/>
    <w:basedOn w:val="Normal"/>
    <w:pPr>
      <w:keepNext/>
      <w:spacing w:before="220" w:after="110"/>
    </w:pPr>
    <w:rPr>
      <w:b/>
      <w:color w:val="1C6550"/>
      <w:sz w:val="25"/>
    </w:rPr>
  </w:style>
  <w:style w:type="paragraph" w:styleId="ListParagraph">
    <w:name w:val="List Paragraph"/>
    <w:basedOn w:val="Normal"/>
    <w:pPr>
      <w:ind w:left="480"/>
    </w:pPr>
  </w:style>
  <w:style w:type="paragraph" w:styleId="TableHeader">
    <w:name w:val="Table Header"/>
    <w:basedOn w:val="Normal"/>
    <w:rPr>
      <w:b/>
      <w:sz w:val="17"/>
    </w:rPr>
    <w:pPr>
      <w:spacing w:before="0" w:after="0" w:line="225" w:lineRule="auto"/>
    </w:pPr>
  </w:style>
  <w:style w:type="paragraph" w:styleId="TableText">
    <w:name w:val="Table Text"/>
    <w:basedOn w:val="Normal"/>
    <w:rPr>
      <w:sz w:val="17"/>
    </w:rPr>
    <w:pPr>
      <w:spacing w:before="0" w:after="0" w:line="225" w:lineRule="auto"/>
    </w:pPr>
  </w:style>
  <w:style w:type="paragraph" w:styleId="Caption">
    <w:name w:val="Caption"/>
    <w:basedOn w:val="Normal"/>
    <w:rPr>
      <w:i/>
      <w:sz w:val="17"/>
    </w:rPr>
  </w:style>
  <w:style w:type="table" w:styleId="TableGrid">
    <w:name w:val="Table Grid"/>
    <w:tblPr>
      <w:tblBorders>
        <w:top w:val="single" w:sz="5" w:color="AAB5AE"/>
        <w:left w:val="single" w:sz="5" w:color="AAB5AE"/>
        <w:bottom w:val="single" w:sz="5" w:color="AAB5AE"/>
        <w:right w:val="single" w:sz="5" w:color="AAB5AE"/>
        <w:insideH w:val="single" w:sz="3" w:color="CCD5CE"/>
        <w:insideV w:val="single" w:sz="3" w:color="CCD5CE"/>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image" Target="media/image9.png"/><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image" Target="media/image14.png"/><Relationship Id="rId17" Type="http://schemas.openxmlformats.org/officeDocument/2006/relationships/image" Target="media/image15.png"/><Relationship Id="rId18" Type="http://schemas.openxmlformats.org/officeDocument/2006/relationships/image" Target="media/image16.png"/><Relationship Id="rId19" Type="http://schemas.openxmlformats.org/officeDocument/2006/relationships/image" Target="media/image17.png"/><Relationship Id="rId20" Type="http://schemas.openxmlformats.org/officeDocument/2006/relationships/image" Target="media/image18.png"/><Relationship Id="rId21" Type="http://schemas.openxmlformats.org/officeDocument/2006/relationships/image" Target="media/image19.png"/><Relationship Id="rId22" Type="http://schemas.openxmlformats.org/officeDocument/2006/relationships/image" Target="media/image20.png"/><Relationship Id="rId23" Type="http://schemas.openxmlformats.org/officeDocument/2006/relationships/image" Target="media/image21.png"/><Relationship Id="rId24" Type="http://schemas.openxmlformats.org/officeDocument/2006/relationships/image" Target="media/image22.png"/><Relationship Id="rId25" Type="http://schemas.openxmlformats.org/officeDocument/2006/relationships/image" Target="media/image23.png"/><Relationship Id="rId26" Type="http://schemas.openxmlformats.org/officeDocument/2006/relationships/image" Target="media/image24.png"/><Relationship Id="rId27" Type="http://schemas.openxmlformats.org/officeDocument/2006/relationships/image" Target="media/image25.png"/><Relationship Id="rId28" Type="http://schemas.openxmlformats.org/officeDocument/2006/relationships/image" Target="media/image26.png"/><Relationship Id="rId29" Type="http://schemas.openxmlformats.org/officeDocument/2006/relationships/image" Target="media/image27.png"/><Relationship Id="rId30" Type="http://schemas.openxmlformats.org/officeDocument/2006/relationships/image" Target="media/image28.png"/><Relationship Id="rId31" Type="http://schemas.openxmlformats.org/officeDocument/2006/relationships/image" Target="media/image29.png"/><Relationship Id="rId32" Type="http://schemas.openxmlformats.org/officeDocument/2006/relationships/image" Target="media/image30.png"/><Relationship Id="rId33" Type="http://schemas.openxmlformats.org/officeDocument/2006/relationships/image" Target="media/image31.png"/><Relationship Id="rId34" Type="http://schemas.openxmlformats.org/officeDocument/2006/relationships/image" Target="media/image32.png"/><Relationship Id="rId35" Type="http://schemas.openxmlformats.org/officeDocument/2006/relationships/image" Target="media/image33.png"/><Relationship Id="rId36" Type="http://schemas.openxmlformats.org/officeDocument/2006/relationships/image" Target="media/image34.png"/><Relationship Id="rId37" Type="http://schemas.openxmlformats.org/officeDocument/2006/relationships/image" Target="media/image35.png"/><Relationship Id="rId38" Type="http://schemas.openxmlformats.org/officeDocument/2006/relationships/image" Target="media/image36.png"/><Relationship Id="rId39" Type="http://schemas.openxmlformats.org/officeDocument/2006/relationships/image" Target="media/image37.png"/><Relationship Id="rId40" Type="http://schemas.openxmlformats.org/officeDocument/2006/relationships/image" Target="media/image38.png"/><Relationship Id="rId41" Type="http://schemas.openxmlformats.org/officeDocument/2006/relationships/image" Target="media/image39.png"/><Relationship Id="rId42" Type="http://schemas.openxmlformats.org/officeDocument/2006/relationships/image" Target="media/image40.png"/><Relationship Id="rId43" Type="http://schemas.openxmlformats.org/officeDocument/2006/relationships/image" Target="media/image41.png"/><Relationship Id="rId44" Type="http://schemas.openxmlformats.org/officeDocument/2006/relationships/image" Target="media/image42.png"/><Relationship Id="rId45" Type="http://schemas.openxmlformats.org/officeDocument/2006/relationships/image" Target="media/image43.png"/><Relationship Id="rId46" Type="http://schemas.openxmlformats.org/officeDocument/2006/relationships/image" Target="media/image44.png"/><Relationship Id="rId47" Type="http://schemas.openxmlformats.org/officeDocument/2006/relationships/image" Target="media/image45.png"/><Relationship Id="rId48" Type="http://schemas.openxmlformats.org/officeDocument/2006/relationships/image" Target="media/image46.png"/><Relationship Id="rId49" Type="http://schemas.openxmlformats.org/officeDocument/2006/relationships/image" Target="media/image47.png"/><Relationship Id="rId50" Type="http://schemas.openxmlformats.org/officeDocument/2006/relationships/image" Target="media/image48.png"/><Relationship Id="rId51" Type="http://schemas.openxmlformats.org/officeDocument/2006/relationships/image" Target="media/image49.png"/><Relationship Id="rId52" Type="http://schemas.openxmlformats.org/officeDocument/2006/relationships/image" Target="media/image50.png"/><Relationship Id="rId53" Type="http://schemas.openxmlformats.org/officeDocument/2006/relationships/image" Target="media/image51.png"/><Relationship Id="rId54" Type="http://schemas.openxmlformats.org/officeDocument/2006/relationships/image" Target="media/image52.png"/><Relationship Id="rId55" Type="http://schemas.openxmlformats.org/officeDocument/2006/relationships/image" Target="media/image53.png"/><Relationship Id="rId56" Type="http://schemas.openxmlformats.org/officeDocument/2006/relationships/image" Target="media/image54.png"/><Relationship Id="rId57" Type="http://schemas.openxmlformats.org/officeDocument/2006/relationships/image" Target="media/image55.png"/><Relationship Id="rId58" Type="http://schemas.openxmlformats.org/officeDocument/2006/relationships/image" Target="media/image56.png"/><Relationship Id="rId59" Type="http://schemas.openxmlformats.org/officeDocument/2006/relationships/image" Target="media/image57.png"/><Relationship Id="rId60" Type="http://schemas.openxmlformats.org/officeDocument/2006/relationships/image" Target="media/image58.png"/><Relationship Id="rId61" Type="http://schemas.openxmlformats.org/officeDocument/2006/relationships/image" Target="media/image59.png"/><Relationship Id="rId62" Type="http://schemas.openxmlformats.org/officeDocument/2006/relationships/image" Target="media/image60.png"/><Relationship Id="rId63" Type="http://schemas.openxmlformats.org/officeDocument/2006/relationships/image" Target="media/image61.png"/><Relationship Id="rId64" Type="http://schemas.openxmlformats.org/officeDocument/2006/relationships/image" Target="media/image62.png"/><Relationship Id="rId65" Type="http://schemas.openxmlformats.org/officeDocument/2006/relationships/image" Target="media/image63.png"/><Relationship Id="rId66" Type="http://schemas.openxmlformats.org/officeDocument/2006/relationships/image" Target="media/image64.png"/><Relationship Id="rId67" Type="http://schemas.openxmlformats.org/officeDocument/2006/relationships/image" Target="media/image65.png"/><Relationship Id="rId68" Type="http://schemas.openxmlformats.org/officeDocument/2006/relationships/image" Target="media/image66.png"/><Relationship Id="rId69" Type="http://schemas.openxmlformats.org/officeDocument/2006/relationships/image" Target="media/image67.png"/><Relationship Id="rId70" Type="http://schemas.openxmlformats.org/officeDocument/2006/relationships/image" Target="media/image68.png"/><Relationship Id="rId71" Type="http://schemas.openxmlformats.org/officeDocument/2006/relationships/image" Target="media/image69.png"/><Relationship Id="rId72" Type="http://schemas.openxmlformats.org/officeDocument/2006/relationships/image" Target="media/image70.png"/><Relationship Id="rId73" Type="http://schemas.openxmlformats.org/officeDocument/2006/relationships/image" Target="media/image71.png"/><Relationship Id="rId74" Type="http://schemas.openxmlformats.org/officeDocument/2006/relationships/image" Target="media/image72.png"/><Relationship Id="rId75" Type="http://schemas.openxmlformats.org/officeDocument/2006/relationships/image" Target="media/image73.png"/><Relationship Id="rId76" Type="http://schemas.openxmlformats.org/officeDocument/2006/relationships/image" Target="media/image74.png"/><Relationship Id="rId77" Type="http://schemas.openxmlformats.org/officeDocument/2006/relationships/image" Target="media/image75.png"/><Relationship Id="rId78" Type="http://schemas.openxmlformats.org/officeDocument/2006/relationships/image" Target="media/image76.png"/><Relationship Id="rId79" Type="http://schemas.openxmlformats.org/officeDocument/2006/relationships/image" Target="media/image77.png"/><Relationship Id="rId80" Type="http://schemas.openxmlformats.org/officeDocument/2006/relationships/image" Target="media/image78.png"/><Relationship Id="rId81" Type="http://schemas.openxmlformats.org/officeDocument/2006/relationships/image" Target="media/image79.png"/></Relationships>
</file>

<file path=docProps/app.xml><?xml version="1.0" encoding="utf-8"?>
<Properties xmlns="http://schemas.openxmlformats.org/officeDocument/2006/extended-properties">
  <Application>Voxonomics Publication Candidate Builder</Application>
</Properties>
</file>

<file path=docProps/core.xml><?xml version="1.0" encoding="utf-8"?>
<cp:coreProperties xmlns:cp="http://schemas.openxmlformats.org/package/2006/metadata/core-properties" xmlns:dc="http://purl.org/dc/elements/1.1/" xmlns:dcterms="http://purl.org/dc/terms/" xmlns:xsi="http://www.w3.org/2001/XMLSchema-instance">
  <dc:title>Voxonomics Whitepaper Edition 3.4 — Complete Publication Candidate</dc:title>
  <dc:creator>Voxonomics LTD</dc:creator>
  <dc:description>Candidate reconstructed from published Edition 3.3 reader, amended with explicit four-network implementation clarification. Not an approved final publication.</dc:description>
  <dcterms:created xsi:type="dcterms:W3CDTF">2026-10-27T18:30:00Z</dcterms:created>
</cp:coreProperties>
</file>